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BC" w:rsidRPr="0052246D" w:rsidRDefault="00F97DBC" w:rsidP="00F97DBC">
      <w:pPr>
        <w:jc w:val="center"/>
        <w:rPr>
          <w:rFonts w:ascii="Times New Roman" w:hAnsi="Times New Roman"/>
          <w:b/>
        </w:rPr>
      </w:pPr>
      <w:r w:rsidRPr="00BA6799">
        <w:rPr>
          <w:rFonts w:ascii="Times New Roman" w:hAnsi="Times New Roman"/>
          <w:b/>
          <w:sz w:val="24"/>
          <w:szCs w:val="24"/>
        </w:rPr>
        <w:t>Substance Use Risk Behaviours Among Secondary School Teachers in Enugu Education Zone,</w:t>
      </w:r>
      <w:r w:rsidRPr="0052246D">
        <w:rPr>
          <w:rFonts w:ascii="Times New Roman" w:hAnsi="Times New Roman"/>
          <w:b/>
        </w:rPr>
        <w:t xml:space="preserve"> Enugu State, Nigeria.</w:t>
      </w:r>
    </w:p>
    <w:p w:rsidR="00F97DBC" w:rsidRPr="00850E6E" w:rsidRDefault="00F97DBC" w:rsidP="00F97DBC">
      <w:pPr>
        <w:pStyle w:val="NoSpacing"/>
        <w:rPr>
          <w:rFonts w:ascii="Times New Roman" w:hAnsi="Times New Roman"/>
          <w:b/>
          <w:i/>
        </w:rPr>
      </w:pPr>
      <w:r w:rsidRPr="00850E6E">
        <w:rPr>
          <w:rFonts w:ascii="Times New Roman" w:hAnsi="Times New Roman"/>
          <w:b/>
          <w:i/>
        </w:rPr>
        <w:t>Abstract</w:t>
      </w:r>
    </w:p>
    <w:p w:rsidR="00F97DBC" w:rsidRPr="00BA6799" w:rsidRDefault="00F97DBC" w:rsidP="00BA6799">
      <w:pPr>
        <w:pStyle w:val="NoSpacing"/>
        <w:spacing w:line="360" w:lineRule="auto"/>
        <w:jc w:val="both"/>
        <w:rPr>
          <w:rFonts w:ascii="Times New Roman" w:hAnsi="Times New Roman"/>
          <w:i/>
          <w:sz w:val="24"/>
          <w:szCs w:val="24"/>
        </w:rPr>
      </w:pPr>
      <w:r w:rsidRPr="00BA6799">
        <w:rPr>
          <w:rFonts w:ascii="Times New Roman" w:hAnsi="Times New Roman"/>
          <w:i/>
          <w:sz w:val="24"/>
          <w:szCs w:val="24"/>
        </w:rPr>
        <w:t>The increasing prevalent of lifestyle related diseases has attracted both local and international concern, that behavior modifications against diseases have become imperative, especially in a workplace such as school. Behaviours perceived as being risk factors for certain diseases can be very challenging to the positive alteration of negative lifestyles. It is in consideration of the enormity of this development to public health and productivity that the researcher was motivated to assess the frequency of substance use risk behaviours of secondary school teachers in Enugu education zone. The survey design was adopted for the study that involved a sample of 155 teachers drawn from a population of 1552 secondary school teachers in the zone, using the proportionate stratified random sampling technique. Instrument for data collection was a 7-item questionnaire known as Substance Use Risk Behaviour Questionnaire (SURBQ) adopted from the Youth Risk Behaviour Survey(YRBSS). The instrument comprised of two sections, A and B. Section A elicited information on the personal data of the respondent, while Section B comprised of 10 items with four response options. Data collection was done by the researcher with the help of two research assistants. All the copies of the questionnaire distributed were duly completed and qualified for data analysis. Data were analyzed using mean, and standard deviation, while the t-test statistic was employed to verify the influence of gender on the teachers’ involvement in substance use risk behaviours at .05 level of significance. It was found that the teachers rarely (x=1.87</w:t>
      </w:r>
      <w:r w:rsidR="00EE338F" w:rsidRPr="00BA6799">
        <w:rPr>
          <w:rFonts w:ascii="Times New Roman" w:hAnsi="Times New Roman"/>
          <w:i/>
          <w:sz w:val="24"/>
          <w:szCs w:val="24"/>
        </w:rPr>
        <w:t>) indulge</w:t>
      </w:r>
      <w:r w:rsidRPr="00BA6799">
        <w:rPr>
          <w:rFonts w:ascii="Times New Roman" w:hAnsi="Times New Roman"/>
          <w:i/>
          <w:sz w:val="24"/>
          <w:szCs w:val="24"/>
        </w:rPr>
        <w:t xml:space="preserve"> </w:t>
      </w:r>
      <w:r w:rsidR="00EE338F" w:rsidRPr="00BA6799">
        <w:rPr>
          <w:rFonts w:ascii="Times New Roman" w:hAnsi="Times New Roman"/>
          <w:i/>
          <w:sz w:val="24"/>
          <w:szCs w:val="24"/>
        </w:rPr>
        <w:t>in certain</w:t>
      </w:r>
      <w:r w:rsidRPr="00BA6799">
        <w:rPr>
          <w:rFonts w:ascii="Times New Roman" w:hAnsi="Times New Roman"/>
          <w:i/>
          <w:sz w:val="24"/>
          <w:szCs w:val="24"/>
        </w:rPr>
        <w:t xml:space="preserve"> substance use risk behaviours such </w:t>
      </w:r>
      <w:r w:rsidR="00EE338F">
        <w:rPr>
          <w:rFonts w:ascii="Times New Roman" w:hAnsi="Times New Roman"/>
          <w:i/>
          <w:sz w:val="24"/>
          <w:szCs w:val="24"/>
        </w:rPr>
        <w:t xml:space="preserve">as use of self prescribed drugs and that gender has </w:t>
      </w:r>
      <w:r w:rsidR="00E471BC">
        <w:rPr>
          <w:rFonts w:ascii="Times New Roman" w:hAnsi="Times New Roman"/>
          <w:i/>
          <w:sz w:val="24"/>
          <w:szCs w:val="24"/>
        </w:rPr>
        <w:t xml:space="preserve">no significant influence on </w:t>
      </w:r>
      <w:r w:rsidR="00EE338F">
        <w:rPr>
          <w:rFonts w:ascii="Times New Roman" w:hAnsi="Times New Roman"/>
          <w:i/>
          <w:sz w:val="24"/>
          <w:szCs w:val="24"/>
        </w:rPr>
        <w:t>their substance use risk behaviours</w:t>
      </w:r>
      <w:r w:rsidR="002F4F8D">
        <w:rPr>
          <w:rFonts w:ascii="Times New Roman" w:hAnsi="Times New Roman"/>
          <w:i/>
          <w:sz w:val="24"/>
          <w:szCs w:val="24"/>
        </w:rPr>
        <w:t xml:space="preserve"> </w:t>
      </w:r>
      <w:r w:rsidR="002F4F8D">
        <w:rPr>
          <w:rFonts w:ascii="Times New Roman" w:hAnsi="Times New Roman"/>
          <w:sz w:val="24"/>
          <w:szCs w:val="24"/>
        </w:rPr>
        <w:t>(</w:t>
      </w:r>
      <w:r w:rsidR="002F4F8D" w:rsidRPr="009E5077">
        <w:rPr>
          <w:rFonts w:ascii="Times New Roman" w:hAnsi="Times New Roman"/>
          <w:sz w:val="24"/>
          <w:szCs w:val="24"/>
        </w:rPr>
        <w:t xml:space="preserve"> t-cal of 0.018 </w:t>
      </w:r>
      <w:r w:rsidR="002F4F8D">
        <w:rPr>
          <w:rFonts w:ascii="Times New Roman" w:hAnsi="Times New Roman"/>
          <w:sz w:val="24"/>
          <w:szCs w:val="24"/>
        </w:rPr>
        <w:t xml:space="preserve">&lt; t-crit </w:t>
      </w:r>
      <w:r w:rsidR="002F4F8D" w:rsidRPr="009E5077">
        <w:rPr>
          <w:rFonts w:ascii="Times New Roman" w:hAnsi="Times New Roman"/>
          <w:sz w:val="24"/>
          <w:szCs w:val="24"/>
        </w:rPr>
        <w:t>of 1.960</w:t>
      </w:r>
      <w:r w:rsidR="002F4F8D">
        <w:rPr>
          <w:rFonts w:ascii="Times New Roman" w:hAnsi="Times New Roman"/>
          <w:sz w:val="24"/>
          <w:szCs w:val="24"/>
        </w:rPr>
        <w:t xml:space="preserve">) p &gt; .05. </w:t>
      </w:r>
      <w:r w:rsidRPr="00BA6799">
        <w:rPr>
          <w:rFonts w:ascii="Times New Roman" w:hAnsi="Times New Roman"/>
          <w:i/>
          <w:sz w:val="24"/>
          <w:szCs w:val="24"/>
        </w:rPr>
        <w:t>Implications of the findings for healthy living and sustainable development were articulated. Subsequently, it was recommended that a workplace health promotion for teachers be adopted to encourage the teachers change their risk behaviours for improved productivity and sustainable development.</w:t>
      </w:r>
    </w:p>
    <w:p w:rsidR="00F97DBC" w:rsidRPr="00BA6799" w:rsidRDefault="00F97DBC" w:rsidP="00BA6799">
      <w:pPr>
        <w:pStyle w:val="NoSpacing"/>
        <w:spacing w:line="360" w:lineRule="auto"/>
        <w:jc w:val="right"/>
        <w:rPr>
          <w:rFonts w:ascii="Times New Roman" w:hAnsi="Times New Roman"/>
          <w:b/>
          <w:sz w:val="24"/>
          <w:szCs w:val="24"/>
        </w:rPr>
      </w:pPr>
    </w:p>
    <w:p w:rsidR="00F97DBC" w:rsidRPr="00BA6799" w:rsidRDefault="00F97DBC" w:rsidP="00BA6799">
      <w:pPr>
        <w:pStyle w:val="NoSpacing"/>
        <w:spacing w:line="360" w:lineRule="auto"/>
        <w:rPr>
          <w:rFonts w:ascii="Times New Roman" w:hAnsi="Times New Roman"/>
          <w:i/>
          <w:sz w:val="24"/>
          <w:szCs w:val="24"/>
        </w:rPr>
      </w:pPr>
      <w:r w:rsidRPr="00BA6799">
        <w:rPr>
          <w:rFonts w:ascii="Times New Roman" w:hAnsi="Times New Roman"/>
          <w:b/>
          <w:sz w:val="24"/>
          <w:szCs w:val="24"/>
        </w:rPr>
        <w:t xml:space="preserve">Key </w:t>
      </w:r>
      <w:r w:rsidRPr="00834BDB">
        <w:rPr>
          <w:rFonts w:ascii="Times New Roman" w:hAnsi="Times New Roman"/>
          <w:b/>
          <w:i/>
          <w:sz w:val="24"/>
          <w:szCs w:val="24"/>
        </w:rPr>
        <w:t>Words:</w:t>
      </w:r>
      <w:r w:rsidRPr="00BA6799">
        <w:rPr>
          <w:rFonts w:ascii="Times New Roman" w:hAnsi="Times New Roman"/>
          <w:i/>
          <w:sz w:val="24"/>
          <w:szCs w:val="24"/>
        </w:rPr>
        <w:t xml:space="preserve"> Assessment, Substance use, Risk Behaviours, Teachers</w:t>
      </w:r>
    </w:p>
    <w:p w:rsidR="00F97DBC" w:rsidRDefault="00834BDB" w:rsidP="00834BDB">
      <w:pPr>
        <w:pStyle w:val="NoSpacing"/>
        <w:tabs>
          <w:tab w:val="left" w:pos="2350"/>
        </w:tabs>
        <w:rPr>
          <w:rFonts w:ascii="Times New Roman" w:hAnsi="Times New Roman"/>
          <w:i/>
        </w:rPr>
      </w:pPr>
      <w:r>
        <w:rPr>
          <w:rFonts w:ascii="Times New Roman" w:hAnsi="Times New Roman"/>
          <w:i/>
        </w:rPr>
        <w:tab/>
      </w:r>
    </w:p>
    <w:p w:rsidR="00F97DBC" w:rsidRDefault="00F97DBC" w:rsidP="00F97DBC">
      <w:pPr>
        <w:pStyle w:val="NoSpacing"/>
        <w:rPr>
          <w:rFonts w:ascii="Times New Roman" w:hAnsi="Times New Roman"/>
          <w:i/>
        </w:rPr>
      </w:pPr>
    </w:p>
    <w:p w:rsidR="00F97DBC" w:rsidRDefault="00F97DBC" w:rsidP="00F97DBC">
      <w:pPr>
        <w:pStyle w:val="NoSpacing"/>
        <w:rPr>
          <w:rFonts w:ascii="Times New Roman" w:hAnsi="Times New Roman"/>
          <w:i/>
        </w:rPr>
      </w:pPr>
    </w:p>
    <w:p w:rsidR="00F97DBC" w:rsidRDefault="00F97DBC" w:rsidP="00F97DBC">
      <w:pPr>
        <w:pStyle w:val="NoSpacing"/>
        <w:rPr>
          <w:rFonts w:ascii="Times New Roman" w:hAnsi="Times New Roman"/>
          <w:i/>
        </w:rPr>
      </w:pPr>
    </w:p>
    <w:p w:rsidR="00F97DBC" w:rsidRDefault="00F97DBC" w:rsidP="00F97DBC">
      <w:pPr>
        <w:pStyle w:val="NoSpacing"/>
        <w:rPr>
          <w:rFonts w:ascii="Times New Roman" w:hAnsi="Times New Roman"/>
          <w:i/>
        </w:rPr>
      </w:pPr>
    </w:p>
    <w:p w:rsidR="00BA6799" w:rsidRDefault="00BA6799" w:rsidP="00F97DBC">
      <w:pPr>
        <w:spacing w:line="360" w:lineRule="auto"/>
        <w:rPr>
          <w:rFonts w:ascii="Times New Roman" w:hAnsi="Times New Roman"/>
          <w:i/>
        </w:rPr>
      </w:pPr>
    </w:p>
    <w:p w:rsidR="00F97DBC" w:rsidRPr="009E5077" w:rsidRDefault="00F97DBC" w:rsidP="00F97DBC">
      <w:pPr>
        <w:spacing w:line="360" w:lineRule="auto"/>
        <w:rPr>
          <w:rFonts w:ascii="Times New Roman" w:hAnsi="Times New Roman"/>
          <w:b/>
          <w:sz w:val="24"/>
          <w:szCs w:val="24"/>
        </w:rPr>
      </w:pPr>
      <w:r w:rsidRPr="009E5077">
        <w:rPr>
          <w:rFonts w:ascii="Times New Roman" w:hAnsi="Times New Roman"/>
          <w:b/>
          <w:sz w:val="24"/>
          <w:szCs w:val="24"/>
        </w:rPr>
        <w:lastRenderedPageBreak/>
        <w:t>Introduction</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Lifestyle related diseases have been known to be in the increase.  This increase has attracted both local and international attention.  The attention has become necessary because of the contributions of lifestyle related diseases to leading causes of death.  It is in recognition of this attention that the General Assembly of the United Nations held a high level meeting on non-communicable diseases (NCDs) in September 2011 at New York.  It was evident in the meeting that several nations had raised alarm over the increasing prevalence of lifestyle related diseases in their countries.</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Lifestyle related diseases are preventable through adoption of healthy behaviours. The relationship between health and behaviour made Ademuwagun, Ajala, Oke, Mornkola and Jegede (2000) observe that one’s actions affected his or her health.  Unfortunately, modifications of behaviours for a desirable and healthy lifestyle appear to be among major challenges of public health especially among workers.  This is why Akinsola (2006) observed that in Sub-Saharan African countries, one of the challenges facing individuals was how to adopt a healthy lifestyle.  Such healthy life styles included freedom from substance abuse.</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Responsible use of substances has become a neglected dimension of peoples’ lifestyle.  This means that individuals have been involved in substance use risk behaviours.  Nnabueze (2010) established that human beings had deviated from the original desirable purpose of substance use to purposes that are hazardous to health.  Substance use risk behaviours such illicit drug use, smoking and self medication have been known to be a widespread habit which people indulge in without realizing that they are injuries to both their health and welfare of the society, Okafor (2009) lamented that the result of any kind of lifestyle chosen by an individual affects both members of the immediate family and the society as a whole.  This is why a study to assess the substance use risk behaviours of individuals especially secondary school teachers will be a welcome development.</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 xml:space="preserve">Substance use risk behaviours are actions perceived as potentially harmful to the complete wellbeing of an individual in the use of drugs, medication and tobacco.  While Nnabueze (2010) noted that consumption of hard drugs had risen in the last decades, Harup (1984) maintained that, increased involvement of people in the abuse of various substances such as tobacco, </w:t>
      </w:r>
      <w:r w:rsidRPr="009E5077">
        <w:rPr>
          <w:rFonts w:ascii="Times New Roman" w:hAnsi="Times New Roman"/>
          <w:sz w:val="24"/>
          <w:szCs w:val="24"/>
        </w:rPr>
        <w:lastRenderedPageBreak/>
        <w:t>caffeine and diazepam as well as stimulants and other depressants could result in addictive dependency that created problem for them.  Similarly, Samuel (2006) held that drug abuse could take any one of a number of forms, from use of illegal drugs to overuse of vitamin pills to misuse of drugs to control or cure for ailments. Illicit drug use entails abuse of substances such as marijuana, hard drugs, and even prescription misuse and self medication (Samuel 2006; Schwartz 2010).  Secondary school teachers in Enugu education zone of Enugu State, Nigeria could be involved in the hazardous use of these substances, hence the need to assess their behaviour in this direction. These teachers are expected to be vanguard of health promotion.</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Assessment in the view of Okoro (2000) is an evaluation process that makes use of collected data for estimating the work, quality or effectiveness of an individual or a programme.  In this study, assessment means the process of determining the level of involvement of secondary school teachers in Enugu education zone of Enugu State, Nigeria in substance use risk behaviours.  Enugu education zone is one of the six education zones under the Enugu State Post Primary Schools Management Board.  It comprises of three local government areas of Enugu North, Enugu East and Isi-Uzo.  There are 1552 teachers in the 26 secondary schools in the zone.  Enugu State is one of the 36 states of Nigeria, and is located at the South East geo-political zone of the country.  The geo-political zone has no cultural sanctions for consumption of substances such as tobacco.  Furthermore, patent medicine vendors and stores abound and are easily accessible.</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 xml:space="preserve">Substance use risk behaviours such as smoking are known to be prevalent among adults with its attendant health consequences.  Ene (2004) regretted that smoking was becoming a major health problem in Nigeria, and that in spite of repeated government warnings, many Nigerians still smoke. It then follows, that many deaths in Nigeria could be attributed to smoking.  According to Benowitz (2004) an estimated 430,000 deaths a year were a consequence of tobacco smoking in USA.  It was also reported that about 25 percent of adults smoke cigarettes, with the habit being more prevalent in men than women.  Reports (Cancer Facts &amp; Gigures, 1996; American, Lung Cancer Association, 2001) revealed that cigarette smoking constituted the death list health behaviour in both developed and developing countries of the world.  It also has enormous implications for workplaces such as school. Implications of smoking ranges from excess health insurance cost, workers’ compensation claims, absenteeism, reduced productivity to serious </w:t>
      </w:r>
      <w:r w:rsidRPr="009E5077">
        <w:rPr>
          <w:rFonts w:ascii="Times New Roman" w:hAnsi="Times New Roman"/>
          <w:sz w:val="24"/>
          <w:szCs w:val="24"/>
        </w:rPr>
        <w:lastRenderedPageBreak/>
        <w:t>health consequences on both smokers and passive smokers alike (Leisitikov, 2000; Brownson, 2002).</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It is against the background of the enormity of substance use risk behaviours to public health and productivity that the researcher was motivated to</w:t>
      </w:r>
      <w:r w:rsidR="00BA6799">
        <w:rPr>
          <w:rFonts w:ascii="Times New Roman" w:hAnsi="Times New Roman"/>
          <w:sz w:val="24"/>
          <w:szCs w:val="24"/>
        </w:rPr>
        <w:t xml:space="preserve"> conduct</w:t>
      </w:r>
      <w:r w:rsidR="00C430A5">
        <w:rPr>
          <w:rFonts w:ascii="Times New Roman" w:hAnsi="Times New Roman"/>
          <w:sz w:val="24"/>
          <w:szCs w:val="24"/>
        </w:rPr>
        <w:t xml:space="preserve"> the study</w:t>
      </w:r>
      <w:r w:rsidR="00BA6799">
        <w:rPr>
          <w:rFonts w:ascii="Times New Roman" w:hAnsi="Times New Roman"/>
          <w:sz w:val="24"/>
          <w:szCs w:val="24"/>
        </w:rPr>
        <w:t>. The purpose of the study is to</w:t>
      </w:r>
      <w:r w:rsidR="00BA6799" w:rsidRPr="009E5077">
        <w:rPr>
          <w:rFonts w:ascii="Times New Roman" w:hAnsi="Times New Roman"/>
          <w:sz w:val="24"/>
          <w:szCs w:val="24"/>
        </w:rPr>
        <w:t xml:space="preserve"> </w:t>
      </w:r>
      <w:r w:rsidR="00C430A5">
        <w:rPr>
          <w:rFonts w:ascii="Times New Roman" w:hAnsi="Times New Roman"/>
          <w:sz w:val="24"/>
          <w:szCs w:val="24"/>
        </w:rPr>
        <w:t>assess the frequency of</w:t>
      </w:r>
      <w:r w:rsidRPr="009E5077">
        <w:rPr>
          <w:rFonts w:ascii="Times New Roman" w:hAnsi="Times New Roman"/>
          <w:sz w:val="24"/>
          <w:szCs w:val="24"/>
        </w:rPr>
        <w:t xml:space="preserve"> the substance use risk behaviours of secondary school teachers in Enugu education zone. To achieve this purpose, two research questions and one null hypothesis were raised thus:</w:t>
      </w:r>
    </w:p>
    <w:p w:rsidR="00F97DBC" w:rsidRPr="009E5077" w:rsidRDefault="00F97DBC" w:rsidP="00F97DBC">
      <w:pPr>
        <w:pStyle w:val="ListParagraph"/>
        <w:numPr>
          <w:ilvl w:val="0"/>
          <w:numId w:val="1"/>
        </w:numPr>
        <w:spacing w:line="360" w:lineRule="auto"/>
        <w:jc w:val="both"/>
        <w:rPr>
          <w:rFonts w:ascii="Times New Roman" w:hAnsi="Times New Roman"/>
          <w:sz w:val="24"/>
          <w:szCs w:val="24"/>
        </w:rPr>
      </w:pPr>
      <w:r w:rsidRPr="009E5077">
        <w:rPr>
          <w:rFonts w:ascii="Times New Roman" w:hAnsi="Times New Roman"/>
          <w:sz w:val="24"/>
          <w:szCs w:val="24"/>
        </w:rPr>
        <w:t xml:space="preserve">What </w:t>
      </w:r>
      <w:r w:rsidR="00CE14F2">
        <w:rPr>
          <w:rFonts w:ascii="Times New Roman" w:hAnsi="Times New Roman"/>
          <w:sz w:val="24"/>
          <w:szCs w:val="24"/>
        </w:rPr>
        <w:t>is the frequency of</w:t>
      </w:r>
      <w:r w:rsidRPr="009E5077">
        <w:rPr>
          <w:rFonts w:ascii="Times New Roman" w:hAnsi="Times New Roman"/>
          <w:sz w:val="24"/>
          <w:szCs w:val="24"/>
        </w:rPr>
        <w:t xml:space="preserve"> substance use risk behaviours of secondary school teachers in Enugu education zone?</w:t>
      </w:r>
    </w:p>
    <w:p w:rsidR="00F97DBC" w:rsidRPr="009E5077" w:rsidRDefault="00F97DBC" w:rsidP="00F97DBC">
      <w:pPr>
        <w:pStyle w:val="ListParagraph"/>
        <w:numPr>
          <w:ilvl w:val="0"/>
          <w:numId w:val="1"/>
        </w:numPr>
        <w:spacing w:line="360" w:lineRule="auto"/>
        <w:jc w:val="both"/>
        <w:rPr>
          <w:rFonts w:ascii="Times New Roman" w:hAnsi="Times New Roman"/>
          <w:sz w:val="24"/>
          <w:szCs w:val="24"/>
        </w:rPr>
      </w:pPr>
      <w:r w:rsidRPr="009E5077">
        <w:rPr>
          <w:rFonts w:ascii="Times New Roman" w:hAnsi="Times New Roman"/>
          <w:sz w:val="24"/>
          <w:szCs w:val="24"/>
        </w:rPr>
        <w:t>What is the influence of gender on the</w:t>
      </w:r>
      <w:r w:rsidR="00CE14F2">
        <w:rPr>
          <w:rFonts w:ascii="Times New Roman" w:hAnsi="Times New Roman"/>
          <w:sz w:val="24"/>
          <w:szCs w:val="24"/>
        </w:rPr>
        <w:t xml:space="preserve"> frequency of </w:t>
      </w:r>
      <w:r w:rsidRPr="009E5077">
        <w:rPr>
          <w:rFonts w:ascii="Times New Roman" w:hAnsi="Times New Roman"/>
          <w:sz w:val="24"/>
          <w:szCs w:val="24"/>
        </w:rPr>
        <w:t xml:space="preserve"> substance use risk behaviours of secondary school teachers in Enugu education zone?</w:t>
      </w:r>
    </w:p>
    <w:p w:rsidR="00F97DBC" w:rsidRPr="009E5077" w:rsidRDefault="00F97DBC" w:rsidP="00F97DBC">
      <w:pPr>
        <w:spacing w:line="360" w:lineRule="auto"/>
        <w:ind w:left="360" w:hanging="360"/>
        <w:jc w:val="both"/>
        <w:rPr>
          <w:rFonts w:ascii="Times New Roman" w:hAnsi="Times New Roman"/>
          <w:sz w:val="24"/>
          <w:szCs w:val="24"/>
        </w:rPr>
      </w:pPr>
      <w:r w:rsidRPr="009E5077">
        <w:rPr>
          <w:rFonts w:ascii="Times New Roman" w:hAnsi="Times New Roman"/>
          <w:b/>
          <w:sz w:val="24"/>
          <w:szCs w:val="24"/>
        </w:rPr>
        <w:t>H</w:t>
      </w:r>
      <w:r w:rsidRPr="009E5077">
        <w:rPr>
          <w:rFonts w:ascii="Times New Roman" w:hAnsi="Times New Roman"/>
          <w:b/>
          <w:sz w:val="24"/>
          <w:szCs w:val="24"/>
          <w:vertAlign w:val="subscript"/>
        </w:rPr>
        <w:t>o1</w:t>
      </w:r>
      <w:r w:rsidRPr="009E5077">
        <w:rPr>
          <w:rFonts w:ascii="Times New Roman" w:hAnsi="Times New Roman"/>
          <w:b/>
          <w:sz w:val="24"/>
          <w:szCs w:val="24"/>
        </w:rPr>
        <w:t>:</w:t>
      </w:r>
      <w:r w:rsidRPr="009E5077">
        <w:rPr>
          <w:rFonts w:ascii="Times New Roman" w:hAnsi="Times New Roman"/>
          <w:sz w:val="24"/>
          <w:szCs w:val="24"/>
        </w:rPr>
        <w:tab/>
        <w:t>There is no significant difference between male and female secondary school teachers in</w:t>
      </w:r>
      <w:r w:rsidR="00CE14F2">
        <w:rPr>
          <w:rFonts w:ascii="Times New Roman" w:hAnsi="Times New Roman"/>
          <w:sz w:val="24"/>
          <w:szCs w:val="24"/>
        </w:rPr>
        <w:t xml:space="preserve"> the frequency </w:t>
      </w:r>
      <w:r w:rsidR="0005276E">
        <w:rPr>
          <w:rFonts w:ascii="Times New Roman" w:hAnsi="Times New Roman"/>
          <w:sz w:val="24"/>
          <w:szCs w:val="24"/>
        </w:rPr>
        <w:t xml:space="preserve">of </w:t>
      </w:r>
      <w:r w:rsidR="0005276E" w:rsidRPr="009E5077">
        <w:rPr>
          <w:rFonts w:ascii="Times New Roman" w:hAnsi="Times New Roman"/>
          <w:sz w:val="24"/>
          <w:szCs w:val="24"/>
        </w:rPr>
        <w:t>their</w:t>
      </w:r>
      <w:r w:rsidRPr="009E5077">
        <w:rPr>
          <w:rFonts w:ascii="Times New Roman" w:hAnsi="Times New Roman"/>
          <w:sz w:val="24"/>
          <w:szCs w:val="24"/>
        </w:rPr>
        <w:t xml:space="preserve"> substance use risk behaviours.</w:t>
      </w:r>
    </w:p>
    <w:p w:rsidR="00F97DBC" w:rsidRPr="006F5ED3" w:rsidRDefault="00F97DBC" w:rsidP="00F97DBC">
      <w:pPr>
        <w:pStyle w:val="NoSpacing"/>
        <w:rPr>
          <w:rFonts w:ascii="Times New Roman" w:hAnsi="Times New Roman"/>
          <w:i/>
        </w:rPr>
      </w:pPr>
      <w:r>
        <w:rPr>
          <w:rFonts w:ascii="Times New Roman" w:hAnsi="Times New Roman"/>
          <w:i/>
        </w:rPr>
        <w:t xml:space="preserve"> </w:t>
      </w:r>
    </w:p>
    <w:p w:rsidR="00F97DBC" w:rsidRPr="009E5077" w:rsidRDefault="00F97DBC" w:rsidP="00F97DBC">
      <w:pPr>
        <w:spacing w:line="240" w:lineRule="auto"/>
        <w:jc w:val="both"/>
        <w:rPr>
          <w:rFonts w:ascii="Times New Roman" w:hAnsi="Times New Roman"/>
          <w:b/>
          <w:sz w:val="24"/>
          <w:szCs w:val="24"/>
        </w:rPr>
      </w:pPr>
      <w:r>
        <w:t xml:space="preserve"> </w:t>
      </w:r>
      <w:r w:rsidRPr="009E5077">
        <w:rPr>
          <w:rFonts w:ascii="Times New Roman" w:hAnsi="Times New Roman"/>
          <w:b/>
          <w:sz w:val="24"/>
          <w:szCs w:val="24"/>
        </w:rPr>
        <w:t>Methods</w:t>
      </w:r>
    </w:p>
    <w:p w:rsidR="00F97DBC" w:rsidRDefault="00F97DBC" w:rsidP="00BA6799">
      <w:pPr>
        <w:spacing w:line="480" w:lineRule="auto"/>
        <w:jc w:val="both"/>
        <w:rPr>
          <w:rFonts w:ascii="Times New Roman" w:hAnsi="Times New Roman"/>
          <w:sz w:val="24"/>
          <w:szCs w:val="24"/>
        </w:rPr>
      </w:pPr>
      <w:r>
        <w:rPr>
          <w:rFonts w:ascii="Times New Roman" w:hAnsi="Times New Roman"/>
          <w:sz w:val="24"/>
          <w:szCs w:val="24"/>
        </w:rPr>
        <w:t>The study is part of a larger research project on socio-demographic factors as predictors of health risk behaviour of secondary school teachers in Enugu State, Nigeria.  D</w:t>
      </w:r>
      <w:r w:rsidRPr="009E5077">
        <w:rPr>
          <w:rFonts w:ascii="Times New Roman" w:hAnsi="Times New Roman"/>
          <w:sz w:val="24"/>
          <w:szCs w:val="24"/>
        </w:rPr>
        <w:t>escriptive survey design was ad</w:t>
      </w:r>
      <w:r>
        <w:rPr>
          <w:rFonts w:ascii="Times New Roman" w:hAnsi="Times New Roman"/>
          <w:sz w:val="24"/>
          <w:szCs w:val="24"/>
        </w:rPr>
        <w:t xml:space="preserve">opted for the study. The design has been successfully utilized </w:t>
      </w:r>
      <w:r w:rsidRPr="009E5077">
        <w:rPr>
          <w:rFonts w:ascii="Times New Roman" w:hAnsi="Times New Roman"/>
          <w:sz w:val="24"/>
          <w:szCs w:val="24"/>
        </w:rPr>
        <w:t>in a related study on lifestyle indicators.  The</w:t>
      </w:r>
      <w:r>
        <w:rPr>
          <w:rFonts w:ascii="Times New Roman" w:hAnsi="Times New Roman"/>
          <w:sz w:val="24"/>
          <w:szCs w:val="24"/>
        </w:rPr>
        <w:t xml:space="preserve"> present</w:t>
      </w:r>
      <w:r w:rsidRPr="009E5077">
        <w:rPr>
          <w:rFonts w:ascii="Times New Roman" w:hAnsi="Times New Roman"/>
          <w:sz w:val="24"/>
          <w:szCs w:val="24"/>
        </w:rPr>
        <w:t xml:space="preserve"> study was carried out in Enugu education zone of Enugu State, Nigeria.    </w:t>
      </w:r>
    </w:p>
    <w:p w:rsidR="00F97DBC" w:rsidRDefault="00F97DBC" w:rsidP="00BA6799">
      <w:pPr>
        <w:spacing w:line="480" w:lineRule="auto"/>
        <w:jc w:val="both"/>
        <w:rPr>
          <w:rFonts w:ascii="Times New Roman" w:hAnsi="Times New Roman"/>
          <w:b/>
          <w:i/>
          <w:sz w:val="24"/>
          <w:szCs w:val="24"/>
        </w:rPr>
      </w:pPr>
      <w:r w:rsidRPr="00B04BFD">
        <w:rPr>
          <w:rFonts w:ascii="Times New Roman" w:hAnsi="Times New Roman"/>
          <w:b/>
          <w:i/>
          <w:sz w:val="24"/>
          <w:szCs w:val="24"/>
        </w:rPr>
        <w:t>Instrument</w:t>
      </w:r>
    </w:p>
    <w:p w:rsidR="00BA6799" w:rsidRDefault="00F97DBC" w:rsidP="00BA6799">
      <w:pPr>
        <w:spacing w:line="480" w:lineRule="auto"/>
        <w:jc w:val="both"/>
        <w:rPr>
          <w:rFonts w:ascii="Times New Roman" w:hAnsi="Times New Roman"/>
          <w:sz w:val="24"/>
          <w:szCs w:val="24"/>
        </w:rPr>
      </w:pPr>
      <w:r>
        <w:rPr>
          <w:rFonts w:ascii="Times New Roman" w:hAnsi="Times New Roman"/>
          <w:b/>
          <w:i/>
          <w:sz w:val="24"/>
          <w:szCs w:val="24"/>
        </w:rPr>
        <w:t xml:space="preserve"> </w:t>
      </w:r>
      <w:r w:rsidRPr="009E5077">
        <w:rPr>
          <w:rFonts w:ascii="Times New Roman" w:hAnsi="Times New Roman"/>
          <w:sz w:val="24"/>
          <w:szCs w:val="24"/>
        </w:rPr>
        <w:t xml:space="preserve">Instrument for data collection was a 7-item questionnaire known as Substance Use Risk </w:t>
      </w:r>
    </w:p>
    <w:p w:rsidR="00F97DBC" w:rsidRDefault="00F97DBC" w:rsidP="00BA6799">
      <w:pPr>
        <w:spacing w:line="480" w:lineRule="auto"/>
        <w:jc w:val="both"/>
        <w:rPr>
          <w:rFonts w:ascii="Times New Roman" w:hAnsi="Times New Roman"/>
          <w:sz w:val="24"/>
          <w:szCs w:val="24"/>
        </w:rPr>
      </w:pPr>
      <w:r w:rsidRPr="009E5077">
        <w:rPr>
          <w:rFonts w:ascii="Times New Roman" w:hAnsi="Times New Roman"/>
          <w:sz w:val="24"/>
          <w:szCs w:val="24"/>
        </w:rPr>
        <w:t xml:space="preserve">Behaviour Questionnaire </w:t>
      </w:r>
      <w:r>
        <w:rPr>
          <w:rFonts w:ascii="Times New Roman" w:hAnsi="Times New Roman"/>
          <w:sz w:val="24"/>
          <w:szCs w:val="24"/>
        </w:rPr>
        <w:t>(SURBQ) ado</w:t>
      </w:r>
      <w:r w:rsidRPr="009E5077">
        <w:rPr>
          <w:rFonts w:ascii="Times New Roman" w:hAnsi="Times New Roman"/>
          <w:sz w:val="24"/>
          <w:szCs w:val="24"/>
        </w:rPr>
        <w:t xml:space="preserve">pted from the Youth Risk Behaviour Survey (YRBS) Questionnaire of Centre for Disease Preventing &amp; Control, USA.  The instrument comprised of two sections A and B.  Section A elicited information on personal data such as gender, while </w:t>
      </w:r>
      <w:r w:rsidRPr="009E5077">
        <w:rPr>
          <w:rFonts w:ascii="Times New Roman" w:hAnsi="Times New Roman"/>
          <w:sz w:val="24"/>
          <w:szCs w:val="24"/>
        </w:rPr>
        <w:lastRenderedPageBreak/>
        <w:t xml:space="preserve">section B comprised of 6 items with four option responses of </w:t>
      </w:r>
      <w:r w:rsidRPr="00426F21">
        <w:rPr>
          <w:rFonts w:ascii="Times New Roman" w:hAnsi="Times New Roman"/>
          <w:i/>
          <w:sz w:val="24"/>
          <w:szCs w:val="24"/>
        </w:rPr>
        <w:t>0 days</w:t>
      </w:r>
      <w:r>
        <w:rPr>
          <w:rFonts w:ascii="Times New Roman" w:hAnsi="Times New Roman"/>
          <w:i/>
          <w:sz w:val="24"/>
          <w:szCs w:val="24"/>
        </w:rPr>
        <w:t>/times</w:t>
      </w:r>
      <w:r w:rsidRPr="00426F21">
        <w:rPr>
          <w:rFonts w:ascii="Times New Roman" w:hAnsi="Times New Roman"/>
          <w:i/>
          <w:sz w:val="24"/>
          <w:szCs w:val="24"/>
        </w:rPr>
        <w:t>; 1-3days/times; 4-6days/times’ 7days/times and above</w:t>
      </w:r>
      <w:r>
        <w:rPr>
          <w:rFonts w:ascii="Times New Roman" w:hAnsi="Times New Roman"/>
          <w:sz w:val="24"/>
          <w:szCs w:val="24"/>
        </w:rPr>
        <w:t>.</w:t>
      </w:r>
      <w:r w:rsidRPr="009E5077">
        <w:rPr>
          <w:rFonts w:ascii="Times New Roman" w:hAnsi="Times New Roman"/>
          <w:sz w:val="24"/>
          <w:szCs w:val="24"/>
        </w:rPr>
        <w:t xml:space="preserve"> </w:t>
      </w:r>
    </w:p>
    <w:p w:rsidR="00F97DBC" w:rsidRDefault="00F97DBC" w:rsidP="00BA6799">
      <w:pPr>
        <w:spacing w:line="480" w:lineRule="auto"/>
        <w:jc w:val="both"/>
        <w:rPr>
          <w:rFonts w:ascii="Times New Roman" w:hAnsi="Times New Roman"/>
          <w:b/>
          <w:i/>
          <w:sz w:val="24"/>
          <w:szCs w:val="24"/>
        </w:rPr>
      </w:pPr>
      <w:r>
        <w:rPr>
          <w:rFonts w:ascii="Times New Roman" w:hAnsi="Times New Roman"/>
          <w:b/>
          <w:i/>
          <w:sz w:val="24"/>
          <w:szCs w:val="24"/>
        </w:rPr>
        <w:t>Sampling and Data Collection</w:t>
      </w:r>
    </w:p>
    <w:p w:rsidR="00F97DBC" w:rsidRPr="000929BC" w:rsidRDefault="00F97DBC" w:rsidP="00BA6799">
      <w:pPr>
        <w:spacing w:line="480" w:lineRule="auto"/>
        <w:jc w:val="both"/>
        <w:rPr>
          <w:rFonts w:ascii="Times New Roman" w:hAnsi="Times New Roman"/>
          <w:sz w:val="24"/>
          <w:szCs w:val="24"/>
        </w:rPr>
      </w:pPr>
      <w:r w:rsidRPr="009E5077">
        <w:rPr>
          <w:rFonts w:ascii="Times New Roman" w:hAnsi="Times New Roman"/>
          <w:sz w:val="24"/>
          <w:szCs w:val="24"/>
        </w:rPr>
        <w:t>The population for the study was 1552 teachers comprising of 648 males and 904 females.</w:t>
      </w:r>
      <w:r>
        <w:rPr>
          <w:rFonts w:ascii="Times New Roman" w:hAnsi="Times New Roman"/>
          <w:sz w:val="24"/>
          <w:szCs w:val="24"/>
        </w:rPr>
        <w:t xml:space="preserve"> </w:t>
      </w:r>
      <w:r w:rsidRPr="009E5077">
        <w:rPr>
          <w:rFonts w:ascii="Times New Roman" w:hAnsi="Times New Roman"/>
          <w:sz w:val="24"/>
          <w:szCs w:val="24"/>
        </w:rPr>
        <w:t>A sample of 155 teachers</w:t>
      </w:r>
      <w:r w:rsidRPr="000929BC">
        <w:rPr>
          <w:rFonts w:ascii="Times New Roman" w:hAnsi="Times New Roman"/>
          <w:sz w:val="24"/>
          <w:szCs w:val="24"/>
        </w:rPr>
        <w:t xml:space="preserve"> </w:t>
      </w:r>
      <w:r w:rsidRPr="009E5077">
        <w:rPr>
          <w:rFonts w:ascii="Times New Roman" w:hAnsi="Times New Roman"/>
          <w:sz w:val="24"/>
          <w:szCs w:val="24"/>
        </w:rPr>
        <w:t>representing 10 percent of the population</w:t>
      </w:r>
      <w:r>
        <w:rPr>
          <w:rFonts w:ascii="Times New Roman" w:hAnsi="Times New Roman"/>
          <w:sz w:val="24"/>
          <w:szCs w:val="24"/>
        </w:rPr>
        <w:t xml:space="preserve">, </w:t>
      </w:r>
      <w:r w:rsidRPr="009E5077">
        <w:rPr>
          <w:rFonts w:ascii="Times New Roman" w:hAnsi="Times New Roman"/>
          <w:sz w:val="24"/>
          <w:szCs w:val="24"/>
        </w:rPr>
        <w:t xml:space="preserve">comprising of 64 males and 91 females was drawn using the proportionate stratified random sampling technique </w:t>
      </w:r>
    </w:p>
    <w:p w:rsidR="00F97DBC" w:rsidRDefault="00F97DBC" w:rsidP="00BA6799">
      <w:pPr>
        <w:spacing w:line="480" w:lineRule="auto"/>
        <w:jc w:val="both"/>
        <w:rPr>
          <w:rFonts w:ascii="Times New Roman" w:hAnsi="Times New Roman"/>
          <w:sz w:val="24"/>
          <w:szCs w:val="24"/>
        </w:rPr>
      </w:pPr>
      <w:r>
        <w:rPr>
          <w:rFonts w:ascii="Times New Roman" w:hAnsi="Times New Roman"/>
          <w:sz w:val="24"/>
          <w:szCs w:val="24"/>
        </w:rPr>
        <w:t xml:space="preserve"> The instrument was administered on the teachers in their various schools. Ethical permission was obtained from the Zonal Education Board to allow entry and reception in the sample schools. </w:t>
      </w:r>
      <w:r w:rsidRPr="009E5077">
        <w:rPr>
          <w:rFonts w:ascii="Times New Roman" w:hAnsi="Times New Roman"/>
          <w:sz w:val="24"/>
          <w:szCs w:val="24"/>
        </w:rPr>
        <w:t>All the copies of the questionnaire</w:t>
      </w:r>
      <w:r>
        <w:rPr>
          <w:rFonts w:ascii="Times New Roman" w:hAnsi="Times New Roman"/>
          <w:sz w:val="24"/>
          <w:szCs w:val="24"/>
        </w:rPr>
        <w:t xml:space="preserve"> distributed to the teachers </w:t>
      </w:r>
      <w:r w:rsidRPr="009E5077">
        <w:rPr>
          <w:rFonts w:ascii="Times New Roman" w:hAnsi="Times New Roman"/>
          <w:sz w:val="24"/>
          <w:szCs w:val="24"/>
        </w:rPr>
        <w:t>were duly completed and qualified for data analysis.</w:t>
      </w:r>
    </w:p>
    <w:p w:rsidR="00F97DBC" w:rsidRPr="000929BC" w:rsidRDefault="00F97DBC" w:rsidP="00BA6799">
      <w:pPr>
        <w:spacing w:line="480" w:lineRule="auto"/>
        <w:jc w:val="both"/>
        <w:rPr>
          <w:rFonts w:ascii="Times New Roman" w:hAnsi="Times New Roman"/>
          <w:b/>
          <w:i/>
          <w:sz w:val="24"/>
          <w:szCs w:val="24"/>
        </w:rPr>
      </w:pPr>
      <w:r w:rsidRPr="000929BC">
        <w:rPr>
          <w:rFonts w:ascii="Times New Roman" w:hAnsi="Times New Roman"/>
          <w:b/>
          <w:i/>
          <w:sz w:val="24"/>
          <w:szCs w:val="24"/>
        </w:rPr>
        <w:t>Data Analysis</w:t>
      </w:r>
    </w:p>
    <w:p w:rsidR="00F97DBC" w:rsidRPr="009E5077" w:rsidRDefault="00F97DBC" w:rsidP="00BA6799">
      <w:pPr>
        <w:spacing w:line="480" w:lineRule="auto"/>
        <w:jc w:val="both"/>
        <w:rPr>
          <w:rFonts w:ascii="Times New Roman" w:hAnsi="Times New Roman"/>
          <w:sz w:val="24"/>
          <w:szCs w:val="24"/>
        </w:rPr>
      </w:pPr>
      <w:r>
        <w:rPr>
          <w:rFonts w:ascii="Times New Roman" w:hAnsi="Times New Roman"/>
          <w:sz w:val="24"/>
          <w:szCs w:val="24"/>
        </w:rPr>
        <w:t xml:space="preserve">Data collected were entered into the computer and analysed using the SPSS Statistical software (version </w:t>
      </w:r>
      <w:r w:rsidR="007465C5">
        <w:rPr>
          <w:rFonts w:ascii="Times New Roman" w:hAnsi="Times New Roman"/>
          <w:sz w:val="24"/>
          <w:szCs w:val="24"/>
        </w:rPr>
        <w:t>16</w:t>
      </w:r>
      <w:r>
        <w:rPr>
          <w:rFonts w:ascii="Times New Roman" w:hAnsi="Times New Roman"/>
          <w:sz w:val="24"/>
          <w:szCs w:val="24"/>
        </w:rPr>
        <w:t>.</w:t>
      </w:r>
      <w:r w:rsidR="007465C5">
        <w:rPr>
          <w:rFonts w:ascii="Times New Roman" w:hAnsi="Times New Roman"/>
          <w:sz w:val="24"/>
          <w:szCs w:val="24"/>
        </w:rPr>
        <w:t>0</w:t>
      </w:r>
      <w:r>
        <w:rPr>
          <w:rFonts w:ascii="Times New Roman" w:hAnsi="Times New Roman"/>
          <w:sz w:val="24"/>
          <w:szCs w:val="24"/>
        </w:rPr>
        <w:t>). M</w:t>
      </w:r>
      <w:r w:rsidRPr="009E5077">
        <w:rPr>
          <w:rFonts w:ascii="Times New Roman" w:hAnsi="Times New Roman"/>
          <w:sz w:val="24"/>
          <w:szCs w:val="24"/>
        </w:rPr>
        <w:t>ean</w:t>
      </w:r>
      <w:r>
        <w:rPr>
          <w:rFonts w:ascii="Times New Roman" w:hAnsi="Times New Roman"/>
          <w:sz w:val="24"/>
          <w:szCs w:val="24"/>
        </w:rPr>
        <w:t xml:space="preserve"> statistic was used to determine the frequency of substance use risk behaviours while the t-test statistic was used to compare the frequency of substance risk behaviours according to male and female.</w:t>
      </w:r>
      <w:r w:rsidRPr="009E5077">
        <w:rPr>
          <w:rFonts w:ascii="Times New Roman" w:hAnsi="Times New Roman"/>
          <w:sz w:val="24"/>
          <w:szCs w:val="24"/>
        </w:rPr>
        <w:t xml:space="preserve"> The response options of </w:t>
      </w:r>
      <w:r w:rsidRPr="00426F21">
        <w:rPr>
          <w:rFonts w:ascii="Times New Roman" w:hAnsi="Times New Roman"/>
          <w:i/>
          <w:sz w:val="24"/>
          <w:szCs w:val="24"/>
        </w:rPr>
        <w:t>0 days</w:t>
      </w:r>
      <w:r>
        <w:rPr>
          <w:rFonts w:ascii="Times New Roman" w:hAnsi="Times New Roman"/>
          <w:i/>
          <w:sz w:val="24"/>
          <w:szCs w:val="24"/>
        </w:rPr>
        <w:t>/times</w:t>
      </w:r>
      <w:r w:rsidRPr="00426F21">
        <w:rPr>
          <w:rFonts w:ascii="Times New Roman" w:hAnsi="Times New Roman"/>
          <w:i/>
          <w:sz w:val="24"/>
          <w:szCs w:val="24"/>
        </w:rPr>
        <w:t>; 1-3days/times; 4-6days/times’ 7days/times and above</w:t>
      </w:r>
      <w:r>
        <w:rPr>
          <w:rFonts w:ascii="Times New Roman" w:hAnsi="Times New Roman"/>
          <w:sz w:val="24"/>
          <w:szCs w:val="24"/>
        </w:rPr>
        <w:t>;</w:t>
      </w:r>
      <w:r w:rsidRPr="00E57C44">
        <w:rPr>
          <w:rFonts w:ascii="Times New Roman" w:hAnsi="Times New Roman"/>
          <w:sz w:val="24"/>
          <w:szCs w:val="24"/>
        </w:rPr>
        <w:t xml:space="preserve"> </w:t>
      </w:r>
      <w:r w:rsidRPr="009E5077">
        <w:rPr>
          <w:rFonts w:ascii="Times New Roman" w:hAnsi="Times New Roman"/>
          <w:sz w:val="24"/>
          <w:szCs w:val="24"/>
        </w:rPr>
        <w:t xml:space="preserve">was assigned </w:t>
      </w:r>
      <w:r>
        <w:rPr>
          <w:rFonts w:ascii="Times New Roman" w:hAnsi="Times New Roman"/>
          <w:sz w:val="24"/>
          <w:szCs w:val="24"/>
        </w:rPr>
        <w:t xml:space="preserve">nominal </w:t>
      </w:r>
      <w:r w:rsidRPr="009E5077">
        <w:rPr>
          <w:rFonts w:ascii="Times New Roman" w:hAnsi="Times New Roman"/>
          <w:sz w:val="24"/>
          <w:szCs w:val="24"/>
        </w:rPr>
        <w:t xml:space="preserve">values of 1, 2, 3 and 4 respectively. </w:t>
      </w:r>
      <w:r>
        <w:rPr>
          <w:rFonts w:ascii="Times New Roman" w:hAnsi="Times New Roman"/>
          <w:sz w:val="24"/>
          <w:szCs w:val="24"/>
        </w:rPr>
        <w:t xml:space="preserve">Limit of real numbers was adopted to take decision for the purpose of determining the frequency of the risk behaviours. Consequently, mean responses of 3.50 to </w:t>
      </w:r>
      <w:r w:rsidRPr="009E5077">
        <w:rPr>
          <w:rFonts w:ascii="Times New Roman" w:hAnsi="Times New Roman"/>
          <w:sz w:val="24"/>
          <w:szCs w:val="24"/>
        </w:rPr>
        <w:t xml:space="preserve">4.00 were interpreted as </w:t>
      </w:r>
      <w:r w:rsidRPr="009E5077">
        <w:rPr>
          <w:rFonts w:ascii="Times New Roman" w:hAnsi="Times New Roman"/>
          <w:i/>
          <w:sz w:val="24"/>
          <w:szCs w:val="24"/>
        </w:rPr>
        <w:t>Always;</w:t>
      </w:r>
      <w:r>
        <w:rPr>
          <w:rFonts w:ascii="Times New Roman" w:hAnsi="Times New Roman"/>
          <w:sz w:val="24"/>
          <w:szCs w:val="24"/>
        </w:rPr>
        <w:t xml:space="preserve"> 2.50 to</w:t>
      </w:r>
      <w:r w:rsidRPr="009E5077">
        <w:rPr>
          <w:rFonts w:ascii="Times New Roman" w:hAnsi="Times New Roman"/>
          <w:sz w:val="24"/>
          <w:szCs w:val="24"/>
        </w:rPr>
        <w:t xml:space="preserve"> 3.49 as </w:t>
      </w:r>
      <w:r w:rsidRPr="009E5077">
        <w:rPr>
          <w:rFonts w:ascii="Times New Roman" w:hAnsi="Times New Roman"/>
          <w:i/>
          <w:sz w:val="24"/>
          <w:szCs w:val="24"/>
        </w:rPr>
        <w:t>Often;</w:t>
      </w:r>
      <w:r>
        <w:rPr>
          <w:rFonts w:ascii="Times New Roman" w:hAnsi="Times New Roman"/>
          <w:sz w:val="24"/>
          <w:szCs w:val="24"/>
        </w:rPr>
        <w:t xml:space="preserve"> 1.50 to </w:t>
      </w:r>
      <w:r w:rsidRPr="009E5077">
        <w:rPr>
          <w:rFonts w:ascii="Times New Roman" w:hAnsi="Times New Roman"/>
          <w:sz w:val="24"/>
          <w:szCs w:val="24"/>
        </w:rPr>
        <w:t xml:space="preserve">2.49 as </w:t>
      </w:r>
      <w:r w:rsidRPr="009E5077">
        <w:rPr>
          <w:rFonts w:ascii="Times New Roman" w:hAnsi="Times New Roman"/>
          <w:i/>
          <w:sz w:val="24"/>
          <w:szCs w:val="24"/>
        </w:rPr>
        <w:t>Rarely</w:t>
      </w:r>
      <w:r w:rsidRPr="009E5077">
        <w:rPr>
          <w:rFonts w:ascii="Times New Roman" w:hAnsi="Times New Roman"/>
          <w:sz w:val="24"/>
          <w:szCs w:val="24"/>
        </w:rPr>
        <w:t xml:space="preserve"> and 1.00</w:t>
      </w:r>
      <w:r>
        <w:rPr>
          <w:rFonts w:ascii="Times New Roman" w:hAnsi="Times New Roman"/>
          <w:sz w:val="24"/>
          <w:szCs w:val="24"/>
        </w:rPr>
        <w:t xml:space="preserve"> to</w:t>
      </w:r>
      <w:r w:rsidRPr="009E5077">
        <w:rPr>
          <w:rFonts w:ascii="Times New Roman" w:hAnsi="Times New Roman"/>
          <w:sz w:val="24"/>
          <w:szCs w:val="24"/>
        </w:rPr>
        <w:t xml:space="preserve">1.49 as </w:t>
      </w:r>
      <w:r w:rsidRPr="009E5077">
        <w:rPr>
          <w:rFonts w:ascii="Times New Roman" w:hAnsi="Times New Roman"/>
          <w:i/>
          <w:sz w:val="24"/>
          <w:szCs w:val="24"/>
        </w:rPr>
        <w:t>Never.</w:t>
      </w:r>
      <w:r w:rsidRPr="009E5077">
        <w:rPr>
          <w:rFonts w:ascii="Times New Roman" w:hAnsi="Times New Roman"/>
          <w:sz w:val="24"/>
          <w:szCs w:val="24"/>
        </w:rPr>
        <w:t xml:space="preserve"> The t-test statistic was employed to </w:t>
      </w:r>
      <w:r>
        <w:rPr>
          <w:rFonts w:ascii="Times New Roman" w:hAnsi="Times New Roman"/>
          <w:sz w:val="24"/>
          <w:szCs w:val="24"/>
        </w:rPr>
        <w:t>determine the influence of gender on the frequency of involvement in the risk behaviours</w:t>
      </w:r>
      <w:r w:rsidRPr="009E5077">
        <w:rPr>
          <w:rFonts w:ascii="Times New Roman" w:hAnsi="Times New Roman"/>
          <w:sz w:val="24"/>
          <w:szCs w:val="24"/>
        </w:rPr>
        <w:t xml:space="preserve"> at .05 level of significance.</w:t>
      </w:r>
    </w:p>
    <w:p w:rsidR="00F97DBC" w:rsidRDefault="00F97DBC" w:rsidP="00BA6799">
      <w:pPr>
        <w:spacing w:line="480" w:lineRule="auto"/>
        <w:jc w:val="both"/>
        <w:rPr>
          <w:rFonts w:ascii="Times New Roman" w:hAnsi="Times New Roman"/>
          <w:b/>
          <w:sz w:val="24"/>
          <w:szCs w:val="24"/>
        </w:rPr>
      </w:pPr>
      <w:r w:rsidRPr="009E5077">
        <w:rPr>
          <w:rFonts w:ascii="Times New Roman" w:hAnsi="Times New Roman"/>
          <w:b/>
          <w:sz w:val="24"/>
          <w:szCs w:val="24"/>
        </w:rPr>
        <w:lastRenderedPageBreak/>
        <w:t>Results</w:t>
      </w:r>
    </w:p>
    <w:p w:rsidR="00F97DBC" w:rsidRPr="009E5077" w:rsidRDefault="00090700" w:rsidP="00BA6799">
      <w:pPr>
        <w:spacing w:line="48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38.65pt;margin-top:114.4pt;width:4.4pt;height:0;z-index:251665408" o:connectortype="straight"/>
        </w:pict>
      </w:r>
      <w:r>
        <w:rPr>
          <w:rFonts w:ascii="Times New Roman" w:hAnsi="Times New Roman"/>
          <w:noProof/>
          <w:sz w:val="24"/>
          <w:szCs w:val="24"/>
        </w:rPr>
        <w:pict>
          <v:shape id="_x0000_s1029" type="#_x0000_t32" style="position:absolute;left:0;text-align:left;margin-left:345.35pt;margin-top:30.15pt;width:5pt;height:0;z-index:251663360" o:connectortype="straight"/>
        </w:pict>
      </w:r>
      <w:r>
        <w:rPr>
          <w:rFonts w:ascii="Times New Roman" w:hAnsi="Times New Roman"/>
          <w:noProof/>
          <w:sz w:val="24"/>
          <w:szCs w:val="24"/>
        </w:rPr>
        <w:pict>
          <v:shape id="_x0000_s1030" type="#_x0000_t32" style="position:absolute;left:0;text-align:left;margin-left:239.65pt;margin-top:112.35pt;width:5.65pt;height:.65pt;z-index:251664384" o:connectortype="straight"/>
        </w:pict>
      </w:r>
      <w:r>
        <w:rPr>
          <w:rFonts w:ascii="Times New Roman" w:hAnsi="Times New Roman"/>
          <w:noProof/>
          <w:sz w:val="24"/>
          <w:szCs w:val="24"/>
        </w:rPr>
        <w:pict>
          <v:shape id="_x0000_s1027" type="#_x0000_t32" style="position:absolute;left:0;text-align:left;margin-left:124.1pt;margin-top:30.7pt;width:7.55pt;height:.05pt;z-index:251661312" o:connectortype="straight"/>
        </w:pict>
      </w:r>
      <w:r>
        <w:rPr>
          <w:rFonts w:ascii="Times New Roman" w:hAnsi="Times New Roman"/>
          <w:noProof/>
          <w:sz w:val="24"/>
          <w:szCs w:val="24"/>
        </w:rPr>
        <w:pict>
          <v:shape id="_x0000_s1026" type="#_x0000_t32" style="position:absolute;left:0;text-align:left;margin-left:61.05pt;margin-top:84.65pt;width:5.6pt;height:.65pt;z-index:251660288" o:connectortype="straight"/>
        </w:pict>
      </w:r>
      <w:r>
        <w:rPr>
          <w:rFonts w:ascii="Times New Roman" w:hAnsi="Times New Roman"/>
          <w:noProof/>
          <w:sz w:val="24"/>
          <w:szCs w:val="24"/>
        </w:rPr>
        <w:pict>
          <v:shape id="_x0000_s1028" type="#_x0000_t32" style="position:absolute;left:0;text-align:left;margin-left:3.75pt;margin-top:29.1pt;width:5.65pt;height:0;z-index:251662336" o:connectortype="straight"/>
        </w:pict>
      </w:r>
      <w:r w:rsidR="00F97DBC">
        <w:rPr>
          <w:rFonts w:ascii="Times New Roman" w:hAnsi="Times New Roman"/>
          <w:sz w:val="24"/>
          <w:szCs w:val="24"/>
        </w:rPr>
        <w:t xml:space="preserve">Results revealed that </w:t>
      </w:r>
      <w:r w:rsidR="00F97DBC" w:rsidRPr="009E5077">
        <w:rPr>
          <w:rFonts w:ascii="Times New Roman" w:hAnsi="Times New Roman"/>
          <w:sz w:val="24"/>
          <w:szCs w:val="24"/>
        </w:rPr>
        <w:t>the teachers were never involved in</w:t>
      </w:r>
      <w:r w:rsidR="00F97DBC">
        <w:rPr>
          <w:rFonts w:ascii="Times New Roman" w:hAnsi="Times New Roman"/>
          <w:sz w:val="24"/>
          <w:szCs w:val="24"/>
        </w:rPr>
        <w:t xml:space="preserve"> daily smoking of sticks of cigarettes (x=1.06), taking of snuff (x=1.05), daily and lifetime use of marijuana (x=1.05).However, results indicated that the teachers were rarely involved in the use of self or non-professional prescribed medication (x=1.87). The implication is that the teachers indulge in substance risk behaviours. It is also indicative from the results that both male (x=1.23) and female(x=1.16) teachers were not involved in  daily cigarette smoking, daily and lifetime use of marijuana, daily taking of snuff, but indulge in the use of self or non-professional prescribed medication. The results further show that</w:t>
      </w:r>
      <w:r w:rsidR="00F97DBC" w:rsidRPr="009E5077">
        <w:rPr>
          <w:rFonts w:ascii="Times New Roman" w:hAnsi="Times New Roman"/>
          <w:sz w:val="24"/>
          <w:szCs w:val="24"/>
        </w:rPr>
        <w:t xml:space="preserve"> there is no significant difference between male and female teachers in their substance use risk behaviours </w:t>
      </w:r>
      <w:r w:rsidR="00F97DBC">
        <w:rPr>
          <w:rFonts w:ascii="Times New Roman" w:hAnsi="Times New Roman"/>
          <w:sz w:val="24"/>
          <w:szCs w:val="24"/>
        </w:rPr>
        <w:t xml:space="preserve"> (</w:t>
      </w:r>
      <w:r w:rsidR="00F97DBC" w:rsidRPr="009E5077">
        <w:rPr>
          <w:rFonts w:ascii="Times New Roman" w:hAnsi="Times New Roman"/>
          <w:sz w:val="24"/>
          <w:szCs w:val="24"/>
        </w:rPr>
        <w:t xml:space="preserve"> t-cal of 0.018 </w:t>
      </w:r>
      <w:r w:rsidR="00F97DBC">
        <w:rPr>
          <w:rFonts w:ascii="Times New Roman" w:hAnsi="Times New Roman"/>
          <w:sz w:val="24"/>
          <w:szCs w:val="24"/>
        </w:rPr>
        <w:t>&lt;</w:t>
      </w:r>
      <w:r w:rsidR="00F97DBC" w:rsidRPr="009E5077">
        <w:rPr>
          <w:rFonts w:ascii="Times New Roman" w:hAnsi="Times New Roman"/>
          <w:sz w:val="24"/>
          <w:szCs w:val="24"/>
        </w:rPr>
        <w:t xml:space="preserve"> t-critical  of 1.960</w:t>
      </w:r>
      <w:r w:rsidR="00F97DBC">
        <w:rPr>
          <w:rFonts w:ascii="Times New Roman" w:hAnsi="Times New Roman"/>
          <w:sz w:val="24"/>
          <w:szCs w:val="24"/>
        </w:rPr>
        <w:t>)</w:t>
      </w:r>
      <w:r w:rsidR="00F97DBC" w:rsidRPr="009E5077">
        <w:rPr>
          <w:rFonts w:ascii="Times New Roman" w:hAnsi="Times New Roman"/>
          <w:sz w:val="24"/>
          <w:szCs w:val="24"/>
        </w:rPr>
        <w:t xml:space="preserve"> at .05 level of significance.  </w:t>
      </w:r>
    </w:p>
    <w:p w:rsidR="00F97DBC" w:rsidRPr="009E5077" w:rsidRDefault="00F97DBC" w:rsidP="00F97DBC">
      <w:pPr>
        <w:spacing w:line="360" w:lineRule="auto"/>
        <w:jc w:val="both"/>
        <w:rPr>
          <w:rFonts w:ascii="Times New Roman" w:hAnsi="Times New Roman"/>
          <w:b/>
          <w:sz w:val="24"/>
          <w:szCs w:val="24"/>
        </w:rPr>
      </w:pPr>
      <w:r>
        <w:t xml:space="preserve"> </w:t>
      </w:r>
      <w:r w:rsidRPr="009E5077">
        <w:rPr>
          <w:rFonts w:ascii="Times New Roman" w:hAnsi="Times New Roman"/>
          <w:b/>
          <w:sz w:val="24"/>
          <w:szCs w:val="24"/>
        </w:rPr>
        <w:t>Discussion</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The purpose of the study was to determine the substance use risk behaviours of secondary school teachers in Enugu education zone.  The finding of the study reveal that secondary school teachers were never involved in substance use risk behaviours, such as daily smoking of cigarettes and marijuana.  It was also found out that the teachers were involved on the use of drugs prescribed by self or non-professionals.</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 xml:space="preserve">The finding that the teachers never smoked cigarette or marijuana did not come as a surprise to the researcher.  This is because, smoking is more of a public habit and the teachers would not want to misrepresent themselves before the students and the society who reserve a lot of respect for them, in addition to their knowledge of the harmful effects to health.  Against this background, Rosenstock’s (1974) and Becker’s (1974) health belief model theory make a lot of sense with regard to the teachers smoking and marijuana use. This implies that the teachers considered smoking and marijuana use harmful.  </w:t>
      </w:r>
      <w:r w:rsidR="00F807AD">
        <w:rPr>
          <w:rFonts w:ascii="Times New Roman" w:hAnsi="Times New Roman"/>
          <w:sz w:val="24"/>
          <w:szCs w:val="24"/>
        </w:rPr>
        <w:t>Similarly, the society recognizes the teachers as models to be emulated for good conduct. This recognition instills great consciousness on the teachers regarding their conduct in the society.</w:t>
      </w:r>
      <w:r w:rsidR="00F807AD" w:rsidRPr="009E5077">
        <w:rPr>
          <w:rFonts w:ascii="Times New Roman" w:hAnsi="Times New Roman"/>
          <w:sz w:val="24"/>
          <w:szCs w:val="24"/>
        </w:rPr>
        <w:t xml:space="preserve"> </w:t>
      </w:r>
      <w:r w:rsidR="003160B5">
        <w:rPr>
          <w:rFonts w:ascii="Times New Roman" w:hAnsi="Times New Roman"/>
          <w:sz w:val="24"/>
          <w:szCs w:val="24"/>
        </w:rPr>
        <w:t>Furthermore</w:t>
      </w:r>
      <w:r w:rsidR="007560C1">
        <w:rPr>
          <w:rFonts w:ascii="Times New Roman" w:hAnsi="Times New Roman"/>
          <w:sz w:val="24"/>
          <w:szCs w:val="24"/>
        </w:rPr>
        <w:t>, the</w:t>
      </w:r>
      <w:r w:rsidR="003160B5">
        <w:rPr>
          <w:rFonts w:ascii="Times New Roman" w:hAnsi="Times New Roman"/>
          <w:sz w:val="24"/>
          <w:szCs w:val="24"/>
        </w:rPr>
        <w:t xml:space="preserve"> theory of </w:t>
      </w:r>
      <w:r w:rsidRPr="009E5077">
        <w:rPr>
          <w:rFonts w:ascii="Times New Roman" w:hAnsi="Times New Roman"/>
          <w:sz w:val="24"/>
          <w:szCs w:val="24"/>
        </w:rPr>
        <w:t>p</w:t>
      </w:r>
      <w:r w:rsidR="003160B5">
        <w:rPr>
          <w:rFonts w:ascii="Times New Roman" w:hAnsi="Times New Roman"/>
          <w:sz w:val="24"/>
          <w:szCs w:val="24"/>
        </w:rPr>
        <w:t>lanned behavior</w:t>
      </w:r>
      <w:r w:rsidRPr="009E5077">
        <w:rPr>
          <w:rFonts w:ascii="Times New Roman" w:hAnsi="Times New Roman"/>
          <w:sz w:val="24"/>
          <w:szCs w:val="24"/>
        </w:rPr>
        <w:t xml:space="preserve"> states that beliefs about other people’s approval or disapproval of our behaviours determine our </w:t>
      </w:r>
      <w:r w:rsidR="003160B5" w:rsidRPr="009E5077">
        <w:rPr>
          <w:rFonts w:ascii="Times New Roman" w:hAnsi="Times New Roman"/>
          <w:sz w:val="24"/>
          <w:szCs w:val="24"/>
        </w:rPr>
        <w:lastRenderedPageBreak/>
        <w:t>actions</w:t>
      </w:r>
      <w:r w:rsidR="003160B5">
        <w:rPr>
          <w:rFonts w:ascii="Times New Roman" w:hAnsi="Times New Roman"/>
          <w:sz w:val="24"/>
          <w:szCs w:val="24"/>
        </w:rPr>
        <w:t xml:space="preserve"> ( Ajzen and Fishbean, </w:t>
      </w:r>
      <w:r w:rsidR="003160B5" w:rsidRPr="009E5077">
        <w:rPr>
          <w:rFonts w:ascii="Times New Roman" w:hAnsi="Times New Roman"/>
          <w:sz w:val="24"/>
          <w:szCs w:val="24"/>
        </w:rPr>
        <w:t>1980)</w:t>
      </w:r>
      <w:r w:rsidRPr="009E5077">
        <w:rPr>
          <w:rFonts w:ascii="Times New Roman" w:hAnsi="Times New Roman"/>
          <w:sz w:val="24"/>
          <w:szCs w:val="24"/>
        </w:rPr>
        <w:t>.  On the other hand, the teachers have been exonerated from an earlier finding by Nnabueze (2010) that cigarette smoking was a widespread habit among Nigerian civil servants.</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However, the finding that the teachers indulge in use of self prescribed drugs rarely was not surprising to the researcher.  This is because reasons why people indulged in self medication are prevalent in Nigeria.  Such reasons as earlier established by previous studies (Adawale, 1996; Salami, 1997; Ezedum, 2004) among others include; poverty, proliferation of portent medicine dealers, lack of health care facilities, access to over the counter drugs; proximity to source and availability of the drugs.  Furthermore, Enebechi and Ejike (2010) observed that a good number of people did not consult the physician when they fell sick, instead resorted to self medication and patent medicine dealers for cure.  This is a dangerous development.</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The finding that substance use risk behaviours of the teachers were not dependent on gender was surprising to the researcher.  One had expected a significant difference to exist between male and female teachers in the use of marijuana and cigarette smoking.  Culturally, smoking by a woman is sternly frowned at in Nigeria.  Consequently, cigarette smoking and marijuana use are expected to be more among the male than female.  Furthermore, Benowitz (2004) reported that 25 percent of adults smoke cigarettes with the habit being more prevalent in men than women.</w:t>
      </w:r>
    </w:p>
    <w:p w:rsidR="00F97DBC" w:rsidRPr="009E5077" w:rsidRDefault="00F97DBC" w:rsidP="00F97DBC">
      <w:pPr>
        <w:spacing w:line="360" w:lineRule="auto"/>
        <w:jc w:val="both"/>
        <w:rPr>
          <w:rFonts w:ascii="Times New Roman" w:hAnsi="Times New Roman"/>
          <w:b/>
          <w:sz w:val="24"/>
          <w:szCs w:val="24"/>
        </w:rPr>
      </w:pPr>
      <w:r w:rsidRPr="009E5077">
        <w:rPr>
          <w:rFonts w:ascii="Times New Roman" w:hAnsi="Times New Roman"/>
          <w:b/>
          <w:sz w:val="24"/>
          <w:szCs w:val="24"/>
        </w:rPr>
        <w:t>Implication</w:t>
      </w:r>
      <w:r w:rsidR="007560C1">
        <w:rPr>
          <w:rFonts w:ascii="Times New Roman" w:hAnsi="Times New Roman"/>
          <w:b/>
          <w:sz w:val="24"/>
          <w:szCs w:val="24"/>
        </w:rPr>
        <w:t>s</w:t>
      </w:r>
      <w:r w:rsidRPr="009E5077">
        <w:rPr>
          <w:rFonts w:ascii="Times New Roman" w:hAnsi="Times New Roman"/>
          <w:b/>
          <w:sz w:val="24"/>
          <w:szCs w:val="24"/>
        </w:rPr>
        <w:t xml:space="preserve"> for Healthy People &amp; Healthy Environment</w:t>
      </w:r>
    </w:p>
    <w:p w:rsidR="000520AA" w:rsidRDefault="00F97DBC" w:rsidP="00F807AD">
      <w:pPr>
        <w:spacing w:line="360" w:lineRule="auto"/>
        <w:jc w:val="both"/>
        <w:rPr>
          <w:rFonts w:ascii="Times New Roman" w:hAnsi="Times New Roman"/>
          <w:sz w:val="24"/>
          <w:szCs w:val="24"/>
        </w:rPr>
      </w:pPr>
      <w:r w:rsidRPr="009E5077">
        <w:rPr>
          <w:rFonts w:ascii="Times New Roman" w:hAnsi="Times New Roman"/>
          <w:sz w:val="24"/>
          <w:szCs w:val="24"/>
        </w:rPr>
        <w:t>The finding that the teachers indulged in the use of self-prescribed drugs rarely is deleterious to the teachers’ health and productivity.  This is because, self medication as indicated in the use of self prescribed drugs has been implicated for causing certain organ damage and adverse systemic changes in the human body, in addition to psychiatric disturbances.  This could promote absenteeism due to ill health among the teachers, thereby reducing productivity.  High rate of absence from duty due to ill health had been reported by Hobson (2001) among the teaching staff in England.</w:t>
      </w:r>
      <w:r w:rsidRPr="009E5077">
        <w:rPr>
          <w:rFonts w:ascii="Times New Roman" w:hAnsi="Times New Roman"/>
          <w:sz w:val="24"/>
          <w:szCs w:val="24"/>
        </w:rPr>
        <w:tab/>
      </w:r>
    </w:p>
    <w:p w:rsidR="00BA6799" w:rsidRPr="009E5077" w:rsidRDefault="00F97DBC" w:rsidP="00BA6799">
      <w:pPr>
        <w:spacing w:line="480" w:lineRule="auto"/>
        <w:jc w:val="both"/>
        <w:rPr>
          <w:rFonts w:ascii="Times New Roman" w:hAnsi="Times New Roman"/>
          <w:sz w:val="24"/>
          <w:szCs w:val="24"/>
        </w:rPr>
      </w:pPr>
      <w:r w:rsidRPr="009E5077">
        <w:rPr>
          <w:rFonts w:ascii="Times New Roman" w:hAnsi="Times New Roman"/>
          <w:sz w:val="24"/>
          <w:szCs w:val="24"/>
        </w:rPr>
        <w:t xml:space="preserve">Furthermore, psychiatric conditions due to drug abuse and misuse constitute disturbance to both the individual and the society. This is why the issue of substance use risk behaviours should be addressed with determined vigour to control it.  It has to be recalled that Okafor (2009) had </w:t>
      </w:r>
      <w:r w:rsidRPr="009E5077">
        <w:rPr>
          <w:rFonts w:ascii="Times New Roman" w:hAnsi="Times New Roman"/>
          <w:sz w:val="24"/>
          <w:szCs w:val="24"/>
        </w:rPr>
        <w:lastRenderedPageBreak/>
        <w:t xml:space="preserve">lamented that the result of any life style affected both members of the family and society. </w:t>
      </w:r>
      <w:r w:rsidR="00BA6799">
        <w:rPr>
          <w:rFonts w:ascii="Times New Roman" w:hAnsi="Times New Roman"/>
          <w:sz w:val="24"/>
          <w:szCs w:val="24"/>
        </w:rPr>
        <w:t xml:space="preserve">This is a regrettable development when one realizes that consequences of the habit are not limited. </w:t>
      </w:r>
      <w:r w:rsidR="00BA6799" w:rsidRPr="009E5077">
        <w:rPr>
          <w:rFonts w:ascii="Times New Roman" w:hAnsi="Times New Roman"/>
          <w:sz w:val="24"/>
          <w:szCs w:val="24"/>
        </w:rPr>
        <w:t xml:space="preserve">  </w:t>
      </w:r>
      <w:r w:rsidR="00BA6799">
        <w:rPr>
          <w:rFonts w:ascii="Times New Roman" w:hAnsi="Times New Roman"/>
          <w:sz w:val="24"/>
          <w:szCs w:val="24"/>
        </w:rPr>
        <w:t>For an instance, a</w:t>
      </w:r>
      <w:r w:rsidR="00BA6799" w:rsidRPr="009E5077">
        <w:rPr>
          <w:rFonts w:ascii="Times New Roman" w:hAnsi="Times New Roman"/>
          <w:sz w:val="24"/>
          <w:szCs w:val="24"/>
        </w:rPr>
        <w:t xml:space="preserve"> mentally challenged individual constitute a social threat. </w:t>
      </w:r>
      <w:r w:rsidR="00BA6799">
        <w:rPr>
          <w:rFonts w:ascii="Times New Roman" w:hAnsi="Times New Roman"/>
          <w:sz w:val="24"/>
          <w:szCs w:val="24"/>
        </w:rPr>
        <w:t xml:space="preserve">A social threat is a cog in the wheel of driving and achieving the </w:t>
      </w:r>
      <w:r w:rsidR="00BA6799" w:rsidRPr="004C7ADA">
        <w:rPr>
          <w:rFonts w:ascii="Times New Roman" w:hAnsi="Times New Roman"/>
          <w:i/>
          <w:sz w:val="24"/>
          <w:szCs w:val="24"/>
        </w:rPr>
        <w:t>sustainable development goal (SDGs)</w:t>
      </w:r>
      <w:r w:rsidR="00BA6799">
        <w:rPr>
          <w:rFonts w:ascii="Times New Roman" w:hAnsi="Times New Roman"/>
          <w:sz w:val="24"/>
          <w:szCs w:val="24"/>
        </w:rPr>
        <w:t xml:space="preserve"> target of achieving peace.</w:t>
      </w:r>
      <w:r w:rsidR="00BA6799" w:rsidRPr="009E5077">
        <w:rPr>
          <w:rFonts w:ascii="Times New Roman" w:hAnsi="Times New Roman"/>
          <w:sz w:val="24"/>
          <w:szCs w:val="24"/>
        </w:rPr>
        <w:t xml:space="preserve"> The implication is that substance use risk behaviours constitute threats to peoples’</w:t>
      </w:r>
      <w:r w:rsidR="00BA6799">
        <w:rPr>
          <w:rFonts w:ascii="Times New Roman" w:hAnsi="Times New Roman"/>
          <w:sz w:val="24"/>
          <w:szCs w:val="24"/>
        </w:rPr>
        <w:t xml:space="preserve"> health, healthy environment and development.</w:t>
      </w:r>
    </w:p>
    <w:p w:rsidR="00F97DBC" w:rsidRPr="009E5077" w:rsidRDefault="00F97DBC" w:rsidP="00F97DBC">
      <w:pPr>
        <w:spacing w:line="360" w:lineRule="auto"/>
        <w:jc w:val="both"/>
        <w:rPr>
          <w:rFonts w:ascii="Times New Roman" w:hAnsi="Times New Roman"/>
          <w:b/>
          <w:sz w:val="24"/>
          <w:szCs w:val="24"/>
        </w:rPr>
      </w:pPr>
      <w:r w:rsidRPr="009E5077">
        <w:rPr>
          <w:rFonts w:ascii="Times New Roman" w:hAnsi="Times New Roman"/>
          <w:b/>
          <w:sz w:val="24"/>
          <w:szCs w:val="24"/>
        </w:rPr>
        <w:t xml:space="preserve">Conclusion and Recommendations </w:t>
      </w:r>
    </w:p>
    <w:p w:rsidR="00F97DBC" w:rsidRPr="009E5077" w:rsidRDefault="00F97DBC" w:rsidP="00F97DBC">
      <w:pPr>
        <w:spacing w:line="360" w:lineRule="auto"/>
        <w:jc w:val="both"/>
        <w:rPr>
          <w:rFonts w:ascii="Times New Roman" w:hAnsi="Times New Roman"/>
          <w:sz w:val="24"/>
          <w:szCs w:val="24"/>
        </w:rPr>
      </w:pPr>
      <w:r w:rsidRPr="009E5077">
        <w:rPr>
          <w:rFonts w:ascii="Times New Roman" w:hAnsi="Times New Roman"/>
          <w:sz w:val="24"/>
          <w:szCs w:val="24"/>
        </w:rPr>
        <w:t>Teachers’ involvement in use of self prescribed drugs constitutes health risk because of its contribution to leading causes of disability and death.  The development is counterproductive to the drive for healthy living and sustainable healthy environment.</w:t>
      </w:r>
    </w:p>
    <w:p w:rsidR="00F97DBC" w:rsidRPr="009E5077" w:rsidRDefault="00BA6799" w:rsidP="00F97DBC">
      <w:pPr>
        <w:spacing w:line="360" w:lineRule="auto"/>
        <w:jc w:val="both"/>
        <w:rPr>
          <w:rFonts w:ascii="Times New Roman" w:hAnsi="Times New Roman"/>
          <w:sz w:val="24"/>
          <w:szCs w:val="24"/>
        </w:rPr>
      </w:pPr>
      <w:r>
        <w:rPr>
          <w:rFonts w:ascii="Times New Roman" w:hAnsi="Times New Roman"/>
          <w:sz w:val="24"/>
          <w:szCs w:val="24"/>
        </w:rPr>
        <w:t xml:space="preserve"> </w:t>
      </w:r>
      <w:r w:rsidR="00F97DBC" w:rsidRPr="009E5077">
        <w:rPr>
          <w:rFonts w:ascii="Times New Roman" w:hAnsi="Times New Roman"/>
          <w:sz w:val="24"/>
          <w:szCs w:val="24"/>
        </w:rPr>
        <w:t>It is the recommendation of the researcher that a workplace health promotion for teachers be adopted to encourage the teachers change their risk behaviours for improved health, productivity and sustainable development.</w:t>
      </w:r>
    </w:p>
    <w:p w:rsidR="00F97DBC" w:rsidRPr="0058559A" w:rsidRDefault="00F97DBC" w:rsidP="00F97DBC">
      <w:pPr>
        <w:spacing w:line="240" w:lineRule="auto"/>
        <w:jc w:val="both"/>
        <w:rPr>
          <w:rFonts w:ascii="Times New Roman" w:hAnsi="Times New Roman"/>
          <w:b/>
          <w:i/>
          <w:sz w:val="24"/>
          <w:szCs w:val="24"/>
        </w:rPr>
      </w:pPr>
      <w:r>
        <w:t xml:space="preserve"> </w:t>
      </w:r>
      <w:r w:rsidRPr="0058559A">
        <w:rPr>
          <w:rFonts w:ascii="Times New Roman" w:hAnsi="Times New Roman"/>
          <w:b/>
          <w:i/>
          <w:sz w:val="24"/>
          <w:szCs w:val="24"/>
        </w:rPr>
        <w:t>Acknowledgments</w:t>
      </w:r>
    </w:p>
    <w:p w:rsidR="00F97DBC" w:rsidRPr="009E5077" w:rsidRDefault="00F97DBC" w:rsidP="000F24A1">
      <w:pPr>
        <w:spacing w:line="360" w:lineRule="auto"/>
        <w:jc w:val="both"/>
        <w:rPr>
          <w:rFonts w:ascii="Times New Roman" w:hAnsi="Times New Roman"/>
          <w:sz w:val="24"/>
          <w:szCs w:val="24"/>
        </w:rPr>
      </w:pPr>
      <w:r>
        <w:rPr>
          <w:rFonts w:ascii="Times New Roman" w:hAnsi="Times New Roman"/>
          <w:sz w:val="24"/>
          <w:szCs w:val="24"/>
        </w:rPr>
        <w:t>The researcher acknowledges the assistance of teachers and Principals of the sample schools for their participation and permission. Appreciation is also extended to Prof. Chuks E Ezedum of the University of Nigeria, Nsukka, for his guidance and advice.</w:t>
      </w:r>
    </w:p>
    <w:p w:rsidR="00F97DBC" w:rsidRDefault="00F97DBC">
      <w:r>
        <w:t xml:space="preserve"> </w:t>
      </w:r>
    </w:p>
    <w:p w:rsidR="00F97DBC" w:rsidRDefault="00F97DBC"/>
    <w:p w:rsidR="00F97DBC" w:rsidRDefault="00F97DBC"/>
    <w:p w:rsidR="00F97DBC" w:rsidRDefault="00F97DBC"/>
    <w:p w:rsidR="00F97DBC" w:rsidRDefault="00F97DBC"/>
    <w:p w:rsidR="00F97DBC" w:rsidRDefault="00F97DBC"/>
    <w:p w:rsidR="00F97DBC" w:rsidRDefault="00F97DBC"/>
    <w:p w:rsidR="000520AA" w:rsidRDefault="000520AA"/>
    <w:p w:rsidR="00F97DBC" w:rsidRPr="009E5077" w:rsidRDefault="00F97DBC" w:rsidP="00F97DBC">
      <w:pPr>
        <w:spacing w:line="360" w:lineRule="auto"/>
        <w:jc w:val="both"/>
        <w:rPr>
          <w:rFonts w:ascii="Times New Roman" w:hAnsi="Times New Roman"/>
          <w:b/>
          <w:sz w:val="24"/>
          <w:szCs w:val="24"/>
        </w:rPr>
      </w:pPr>
      <w:r w:rsidRPr="009E5077">
        <w:rPr>
          <w:rFonts w:ascii="Times New Roman" w:hAnsi="Times New Roman"/>
          <w:b/>
          <w:sz w:val="24"/>
          <w:szCs w:val="24"/>
        </w:rPr>
        <w:lastRenderedPageBreak/>
        <w:t>References</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Ademunagun, Z.A; Ajala, J.A.; Oke, E.A.; Moronkola, O.A. &amp; Jegede, A.S. </w:t>
      </w:r>
    </w:p>
    <w:p w:rsidR="00F97DBC" w:rsidRPr="009E5077" w:rsidRDefault="00F97DBC" w:rsidP="00F97DBC">
      <w:pPr>
        <w:spacing w:after="0" w:line="240" w:lineRule="auto"/>
        <w:ind w:left="720"/>
        <w:jc w:val="both"/>
        <w:rPr>
          <w:rFonts w:ascii="Times New Roman" w:hAnsi="Times New Roman"/>
          <w:sz w:val="24"/>
          <w:szCs w:val="24"/>
        </w:rPr>
      </w:pPr>
      <w:r w:rsidRPr="009E5077">
        <w:rPr>
          <w:rFonts w:ascii="Times New Roman" w:hAnsi="Times New Roman"/>
          <w:sz w:val="24"/>
          <w:szCs w:val="24"/>
        </w:rPr>
        <w:t xml:space="preserve">(2000). </w:t>
      </w:r>
      <w:r w:rsidRPr="009E5077">
        <w:rPr>
          <w:rFonts w:ascii="Times New Roman" w:hAnsi="Times New Roman"/>
          <w:i/>
          <w:sz w:val="24"/>
          <w:szCs w:val="24"/>
        </w:rPr>
        <w:t>Health education and health promotion</w:t>
      </w:r>
      <w:r w:rsidRPr="009E5077">
        <w:rPr>
          <w:rFonts w:ascii="Times New Roman" w:hAnsi="Times New Roman"/>
          <w:sz w:val="24"/>
          <w:szCs w:val="24"/>
        </w:rPr>
        <w:t>. Ibadan. Royal People Nig Ltd.</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Adewole, A. (1996, March 11). Patient heal thyself, </w:t>
      </w:r>
      <w:r w:rsidRPr="009E5077">
        <w:rPr>
          <w:rFonts w:ascii="Times New Roman" w:hAnsi="Times New Roman"/>
          <w:i/>
          <w:sz w:val="24"/>
          <w:szCs w:val="24"/>
        </w:rPr>
        <w:t>Tell, 11, 32-33</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i/>
          <w:sz w:val="24"/>
          <w:szCs w:val="24"/>
        </w:rPr>
      </w:pPr>
      <w:r w:rsidRPr="009E5077">
        <w:rPr>
          <w:rFonts w:ascii="Times New Roman" w:hAnsi="Times New Roman"/>
          <w:sz w:val="24"/>
          <w:szCs w:val="24"/>
        </w:rPr>
        <w:t xml:space="preserve">Ajezen, L. &amp; Fishbein, M. (1980). </w:t>
      </w:r>
      <w:r w:rsidRPr="009E5077">
        <w:rPr>
          <w:rFonts w:ascii="Times New Roman" w:hAnsi="Times New Roman"/>
          <w:i/>
          <w:sz w:val="24"/>
          <w:szCs w:val="24"/>
        </w:rPr>
        <w:t xml:space="preserve">Understanding attitudes and predicting </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i/>
          <w:sz w:val="24"/>
          <w:szCs w:val="24"/>
        </w:rPr>
        <w:tab/>
        <w:t>social behaviours</w:t>
      </w:r>
      <w:r w:rsidRPr="009E5077">
        <w:rPr>
          <w:rFonts w:ascii="Times New Roman" w:hAnsi="Times New Roman"/>
          <w:sz w:val="24"/>
          <w:szCs w:val="24"/>
        </w:rPr>
        <w:t>, New Jerssey: Prentice Hall Inc.</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i/>
          <w:sz w:val="24"/>
          <w:szCs w:val="24"/>
        </w:rPr>
      </w:pPr>
      <w:r w:rsidRPr="009E5077">
        <w:rPr>
          <w:rFonts w:ascii="Times New Roman" w:hAnsi="Times New Roman"/>
          <w:sz w:val="24"/>
          <w:szCs w:val="24"/>
        </w:rPr>
        <w:t xml:space="preserve">Akinsola, H.A. (2006). </w:t>
      </w:r>
      <w:r w:rsidRPr="009E5077">
        <w:rPr>
          <w:rFonts w:ascii="Times New Roman" w:hAnsi="Times New Roman"/>
          <w:i/>
          <w:sz w:val="24"/>
          <w:szCs w:val="24"/>
        </w:rPr>
        <w:t xml:space="preserve">A-Z of community health in medical, nursing and </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i/>
          <w:sz w:val="24"/>
          <w:szCs w:val="24"/>
        </w:rPr>
        <w:tab/>
        <w:t>health education practice</w:t>
      </w:r>
      <w:r w:rsidRPr="009E5077">
        <w:rPr>
          <w:rFonts w:ascii="Times New Roman" w:hAnsi="Times New Roman"/>
          <w:sz w:val="24"/>
          <w:szCs w:val="24"/>
        </w:rPr>
        <w:t>. Ibadan: College Press Pub Ltd.</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Becker, H. (1974). </w:t>
      </w:r>
      <w:r w:rsidRPr="009E5077">
        <w:rPr>
          <w:rFonts w:ascii="Times New Roman" w:hAnsi="Times New Roman"/>
          <w:i/>
          <w:sz w:val="24"/>
          <w:szCs w:val="24"/>
        </w:rPr>
        <w:t>The health belief model and personal behavior</w:t>
      </w:r>
      <w:r w:rsidRPr="009E5077">
        <w:rPr>
          <w:rFonts w:ascii="Times New Roman" w:hAnsi="Times New Roman"/>
          <w:sz w:val="24"/>
          <w:szCs w:val="24"/>
        </w:rPr>
        <w:t xml:space="preserve">. Health </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ab/>
        <w:t>education monograph. 2, 324-401.</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Benowitz, N.L. (2004). Smoking and occupational health. In Joseph Ladou </w:t>
      </w:r>
    </w:p>
    <w:p w:rsidR="00F97DBC" w:rsidRPr="009E5077" w:rsidRDefault="00F97DBC" w:rsidP="00F97DBC">
      <w:pPr>
        <w:spacing w:after="0" w:line="240" w:lineRule="auto"/>
        <w:ind w:left="720"/>
        <w:jc w:val="both"/>
        <w:rPr>
          <w:rFonts w:ascii="Times New Roman" w:hAnsi="Times New Roman"/>
          <w:sz w:val="24"/>
          <w:szCs w:val="24"/>
        </w:rPr>
      </w:pPr>
      <w:r w:rsidRPr="009E5077">
        <w:rPr>
          <w:rFonts w:ascii="Times New Roman" w:hAnsi="Times New Roman"/>
          <w:sz w:val="24"/>
          <w:szCs w:val="24"/>
        </w:rPr>
        <w:t xml:space="preserve">(ed). </w:t>
      </w:r>
      <w:r w:rsidRPr="009E5077">
        <w:rPr>
          <w:rFonts w:ascii="Times New Roman" w:hAnsi="Times New Roman"/>
          <w:i/>
          <w:sz w:val="24"/>
          <w:szCs w:val="24"/>
        </w:rPr>
        <w:t>Current occupational &amp; environmental medicine</w:t>
      </w:r>
      <w:r w:rsidRPr="009E5077">
        <w:rPr>
          <w:rFonts w:ascii="Times New Roman" w:hAnsi="Times New Roman"/>
          <w:sz w:val="24"/>
          <w:szCs w:val="24"/>
        </w:rPr>
        <w:t>. New York: Large Med. Books.</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i/>
          <w:sz w:val="24"/>
          <w:szCs w:val="24"/>
          <w:u w:val="single"/>
        </w:rPr>
      </w:pPr>
      <w:r w:rsidRPr="009E5077">
        <w:rPr>
          <w:rFonts w:ascii="Times New Roman" w:hAnsi="Times New Roman"/>
          <w:sz w:val="24"/>
          <w:szCs w:val="24"/>
        </w:rPr>
        <w:t xml:space="preserve">Brownson, R.C. (2002). Effects of smoking restrictions in the workplace. </w:t>
      </w:r>
      <w:r w:rsidRPr="009E5077">
        <w:rPr>
          <w:rFonts w:ascii="Times New Roman" w:hAnsi="Times New Roman"/>
          <w:sz w:val="24"/>
          <w:szCs w:val="24"/>
        </w:rPr>
        <w:tab/>
      </w:r>
      <w:r w:rsidRPr="009E5077">
        <w:rPr>
          <w:rFonts w:ascii="Times New Roman" w:hAnsi="Times New Roman"/>
          <w:i/>
          <w:sz w:val="24"/>
          <w:szCs w:val="24"/>
        </w:rPr>
        <w:t>Annual Review of Public Health (23), 333</w:t>
      </w:r>
      <w:r w:rsidRPr="009E5077">
        <w:rPr>
          <w:rFonts w:ascii="Times New Roman" w:hAnsi="Times New Roman"/>
          <w:i/>
          <w:sz w:val="24"/>
          <w:szCs w:val="24"/>
          <w:u w:val="single"/>
        </w:rPr>
        <w:t>.</w:t>
      </w:r>
    </w:p>
    <w:p w:rsidR="00F97DBC" w:rsidRPr="009E5077" w:rsidRDefault="00F97DBC" w:rsidP="00F97DBC">
      <w:pPr>
        <w:spacing w:after="0" w:line="240" w:lineRule="auto"/>
        <w:jc w:val="both"/>
        <w:rPr>
          <w:rFonts w:ascii="Times New Roman" w:hAnsi="Times New Roman"/>
          <w:i/>
          <w:sz w:val="24"/>
          <w:szCs w:val="24"/>
          <w:u w:val="single"/>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i/>
          <w:sz w:val="24"/>
          <w:szCs w:val="24"/>
        </w:rPr>
        <w:t>Ene,</w:t>
      </w:r>
      <w:r w:rsidRPr="009E5077">
        <w:rPr>
          <w:rFonts w:ascii="Times New Roman" w:hAnsi="Times New Roman"/>
          <w:sz w:val="24"/>
          <w:szCs w:val="24"/>
        </w:rPr>
        <w:t xml:space="preserve"> O.C. (2004). </w:t>
      </w:r>
      <w:r w:rsidRPr="009E5077">
        <w:rPr>
          <w:rFonts w:ascii="Times New Roman" w:hAnsi="Times New Roman"/>
          <w:i/>
          <w:sz w:val="24"/>
          <w:szCs w:val="24"/>
        </w:rPr>
        <w:t>Health wellness &amp; longevity</w:t>
      </w:r>
      <w:r w:rsidRPr="009E5077">
        <w:rPr>
          <w:rFonts w:ascii="Times New Roman" w:hAnsi="Times New Roman"/>
          <w:sz w:val="24"/>
          <w:szCs w:val="24"/>
        </w:rPr>
        <w:t>, Enugu: Cheston Agency.</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Enebechi, J.C. &amp; Ejike, F.C. (2010). Demographic variations of self </w:t>
      </w:r>
    </w:p>
    <w:p w:rsidR="00F97DBC" w:rsidRPr="009E5077" w:rsidRDefault="00F97DBC" w:rsidP="00F97DBC">
      <w:pPr>
        <w:spacing w:after="0" w:line="240" w:lineRule="auto"/>
        <w:ind w:left="720"/>
        <w:jc w:val="both"/>
        <w:rPr>
          <w:rFonts w:ascii="Times New Roman" w:hAnsi="Times New Roman"/>
          <w:sz w:val="24"/>
          <w:szCs w:val="24"/>
        </w:rPr>
      </w:pPr>
      <w:r w:rsidRPr="009E5077">
        <w:rPr>
          <w:rFonts w:ascii="Times New Roman" w:hAnsi="Times New Roman"/>
          <w:sz w:val="24"/>
          <w:szCs w:val="24"/>
        </w:rPr>
        <w:t xml:space="preserve">medication among secondary school teachers in Udi education zone, Enugu State. </w:t>
      </w:r>
      <w:r w:rsidRPr="009E5077">
        <w:rPr>
          <w:rFonts w:ascii="Times New Roman" w:hAnsi="Times New Roman"/>
          <w:i/>
          <w:sz w:val="24"/>
          <w:szCs w:val="24"/>
        </w:rPr>
        <w:t>ESUT Jorunal of Education. 5(1), 117-184</w:t>
      </w:r>
      <w:r w:rsidRPr="009E5077">
        <w:rPr>
          <w:rFonts w:ascii="Times New Roman" w:hAnsi="Times New Roman"/>
          <w:sz w:val="24"/>
          <w:szCs w:val="24"/>
        </w:rPr>
        <w:t>.</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Ezedum, E.C. (2004). Self medication among typical Nigerian in-school rural </w:t>
      </w:r>
    </w:p>
    <w:p w:rsidR="00F97DBC" w:rsidRDefault="00F97DBC" w:rsidP="00F97DBC">
      <w:pPr>
        <w:spacing w:after="0" w:line="240" w:lineRule="auto"/>
        <w:ind w:left="720"/>
        <w:jc w:val="both"/>
        <w:rPr>
          <w:rFonts w:ascii="Times New Roman" w:hAnsi="Times New Roman"/>
          <w:i/>
          <w:sz w:val="24"/>
          <w:szCs w:val="24"/>
        </w:rPr>
      </w:pPr>
      <w:r w:rsidRPr="009E5077">
        <w:rPr>
          <w:rFonts w:ascii="Times New Roman" w:hAnsi="Times New Roman"/>
          <w:sz w:val="24"/>
          <w:szCs w:val="24"/>
        </w:rPr>
        <w:t xml:space="preserve">adolescent.  </w:t>
      </w:r>
      <w:r w:rsidRPr="009E5077">
        <w:rPr>
          <w:rFonts w:ascii="Times New Roman" w:hAnsi="Times New Roman"/>
          <w:i/>
          <w:sz w:val="24"/>
          <w:szCs w:val="24"/>
        </w:rPr>
        <w:t>Nigerian Journal of Health Education (NJHE), 12(1), 28-36.</w:t>
      </w:r>
    </w:p>
    <w:p w:rsidR="003C3FAA" w:rsidRDefault="003C3FAA" w:rsidP="00F97DBC">
      <w:pPr>
        <w:spacing w:after="0" w:line="240" w:lineRule="auto"/>
        <w:ind w:left="720"/>
        <w:jc w:val="both"/>
        <w:rPr>
          <w:rFonts w:ascii="Times New Roman" w:hAnsi="Times New Roman"/>
          <w:i/>
          <w:sz w:val="24"/>
          <w:szCs w:val="24"/>
        </w:rPr>
      </w:pPr>
    </w:p>
    <w:p w:rsidR="003C3FAA" w:rsidRPr="00F54B13" w:rsidRDefault="003C3FAA" w:rsidP="003C3FAA">
      <w:pPr>
        <w:pStyle w:val="NoSpacing"/>
        <w:rPr>
          <w:rFonts w:ascii="Times New Roman" w:hAnsi="Times New Roman"/>
          <w:i/>
          <w:sz w:val="24"/>
          <w:szCs w:val="24"/>
        </w:rPr>
      </w:pPr>
      <w:r w:rsidRPr="00F54B13">
        <w:rPr>
          <w:rFonts w:ascii="Times New Roman" w:hAnsi="Times New Roman"/>
          <w:sz w:val="24"/>
          <w:szCs w:val="24"/>
        </w:rPr>
        <w:t xml:space="preserve">Harrup, T. </w:t>
      </w:r>
      <w:r>
        <w:rPr>
          <w:rFonts w:ascii="Times New Roman" w:hAnsi="Times New Roman"/>
          <w:sz w:val="24"/>
          <w:szCs w:val="24"/>
        </w:rPr>
        <w:t>(</w:t>
      </w:r>
      <w:r w:rsidRPr="00F54B13">
        <w:rPr>
          <w:rFonts w:ascii="Times New Roman" w:hAnsi="Times New Roman"/>
          <w:sz w:val="24"/>
          <w:szCs w:val="24"/>
        </w:rPr>
        <w:t>1984</w:t>
      </w:r>
      <w:r>
        <w:rPr>
          <w:rFonts w:ascii="Times New Roman" w:hAnsi="Times New Roman"/>
          <w:sz w:val="24"/>
          <w:szCs w:val="24"/>
        </w:rPr>
        <w:t xml:space="preserve">). </w:t>
      </w:r>
      <w:r w:rsidRPr="00F54B13">
        <w:rPr>
          <w:rFonts w:ascii="Times New Roman" w:hAnsi="Times New Roman"/>
          <w:sz w:val="24"/>
          <w:szCs w:val="24"/>
        </w:rPr>
        <w:t xml:space="preserve"> Substance dependency. In M. P. P’Donell &amp; T. H. Ainisworth (Eds.). </w:t>
      </w:r>
      <w:r>
        <w:rPr>
          <w:rFonts w:ascii="Times New Roman" w:hAnsi="Times New Roman"/>
          <w:sz w:val="24"/>
          <w:szCs w:val="24"/>
        </w:rPr>
        <w:tab/>
      </w:r>
      <w:r w:rsidRPr="00F54B13">
        <w:rPr>
          <w:rFonts w:ascii="Times New Roman" w:hAnsi="Times New Roman"/>
          <w:i/>
          <w:sz w:val="24"/>
          <w:szCs w:val="24"/>
        </w:rPr>
        <w:t>Health</w:t>
      </w:r>
    </w:p>
    <w:p w:rsidR="00C501C5" w:rsidRPr="003C3FAA" w:rsidRDefault="003C3FAA" w:rsidP="003C3FAA">
      <w:pPr>
        <w:pStyle w:val="NoSpacing"/>
        <w:rPr>
          <w:rFonts w:ascii="Times New Roman" w:hAnsi="Times New Roman"/>
          <w:sz w:val="24"/>
          <w:szCs w:val="24"/>
        </w:rPr>
      </w:pPr>
      <w:r w:rsidRPr="00F54B13">
        <w:rPr>
          <w:rFonts w:ascii="Times New Roman" w:hAnsi="Times New Roman"/>
          <w:i/>
          <w:sz w:val="24"/>
          <w:szCs w:val="24"/>
        </w:rPr>
        <w:t xml:space="preserve">   </w:t>
      </w:r>
      <w:r>
        <w:rPr>
          <w:rFonts w:ascii="Times New Roman" w:hAnsi="Times New Roman"/>
          <w:i/>
          <w:sz w:val="24"/>
          <w:szCs w:val="24"/>
        </w:rPr>
        <w:tab/>
      </w:r>
      <w:r w:rsidRPr="00F54B13">
        <w:rPr>
          <w:rFonts w:ascii="Times New Roman" w:hAnsi="Times New Roman"/>
          <w:i/>
          <w:sz w:val="24"/>
          <w:szCs w:val="24"/>
        </w:rPr>
        <w:t>promotion in the workplace</w:t>
      </w:r>
      <w:r w:rsidRPr="00F54B13">
        <w:rPr>
          <w:rFonts w:ascii="Times New Roman" w:hAnsi="Times New Roman"/>
          <w:sz w:val="24"/>
          <w:szCs w:val="24"/>
        </w:rPr>
        <w:t>.;New York. John Wiley &amp; Sons.</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i/>
          <w:sz w:val="24"/>
          <w:szCs w:val="24"/>
        </w:rPr>
      </w:pPr>
      <w:r w:rsidRPr="009E5077">
        <w:rPr>
          <w:rFonts w:ascii="Times New Roman" w:hAnsi="Times New Roman"/>
          <w:sz w:val="24"/>
          <w:szCs w:val="24"/>
        </w:rPr>
        <w:t xml:space="preserve">Hobson, J. (2001). Learning from teachers. </w:t>
      </w:r>
      <w:r w:rsidRPr="009E5077">
        <w:rPr>
          <w:rFonts w:ascii="Times New Roman" w:hAnsi="Times New Roman"/>
          <w:i/>
          <w:sz w:val="24"/>
          <w:szCs w:val="24"/>
        </w:rPr>
        <w:t xml:space="preserve">Journal of Occupational </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i/>
          <w:sz w:val="24"/>
          <w:szCs w:val="24"/>
        </w:rPr>
        <w:tab/>
        <w:t>Medicine</w:t>
      </w:r>
      <w:r w:rsidRPr="009E5077">
        <w:rPr>
          <w:rFonts w:ascii="Times New Roman" w:hAnsi="Times New Roman"/>
          <w:sz w:val="24"/>
          <w:szCs w:val="24"/>
        </w:rPr>
        <w:t>. 51(5), 297-298.</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Leisitkov, B.N. (2000). Smoking as a risk factor for accidental death. A meta-</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ab/>
        <w:t xml:space="preserve">analysis of cohort studies. </w:t>
      </w:r>
      <w:r w:rsidRPr="009E5077">
        <w:rPr>
          <w:rFonts w:ascii="Times New Roman" w:hAnsi="Times New Roman"/>
          <w:i/>
          <w:sz w:val="24"/>
          <w:szCs w:val="24"/>
        </w:rPr>
        <w:t>Accident and Prevention (32), 397</w:t>
      </w:r>
      <w:r w:rsidRPr="009E5077">
        <w:rPr>
          <w:rFonts w:ascii="Times New Roman" w:hAnsi="Times New Roman"/>
          <w:sz w:val="24"/>
          <w:szCs w:val="24"/>
        </w:rPr>
        <w:t>.</w:t>
      </w:r>
    </w:p>
    <w:p w:rsidR="00F97DBC" w:rsidRPr="009E5077" w:rsidRDefault="00F97DBC" w:rsidP="00F97DBC">
      <w:pPr>
        <w:spacing w:after="0" w:line="240" w:lineRule="auto"/>
        <w:jc w:val="both"/>
        <w:rPr>
          <w:rFonts w:ascii="Times New Roman" w:hAnsi="Times New Roman"/>
          <w:sz w:val="24"/>
          <w:szCs w:val="24"/>
        </w:rPr>
      </w:pP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Nnabueze, U.E. (2010). </w:t>
      </w:r>
      <w:r w:rsidRPr="009E5077">
        <w:rPr>
          <w:rFonts w:ascii="Times New Roman" w:hAnsi="Times New Roman"/>
          <w:i/>
          <w:sz w:val="24"/>
          <w:szCs w:val="24"/>
        </w:rPr>
        <w:t>Health series, Drug, alcohol and..</w:t>
      </w:r>
      <w:r w:rsidRPr="009E5077">
        <w:rPr>
          <w:rFonts w:ascii="Times New Roman" w:hAnsi="Times New Roman"/>
          <w:sz w:val="24"/>
          <w:szCs w:val="24"/>
        </w:rPr>
        <w:t xml:space="preserve"> Cape Coast: </w:t>
      </w:r>
    </w:p>
    <w:p w:rsidR="00F97DBC" w:rsidRPr="009E5077"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ab/>
        <w:t>University Printing Press.</w:t>
      </w:r>
    </w:p>
    <w:p w:rsidR="00F97DBC" w:rsidRPr="009E5077" w:rsidRDefault="00F97DBC" w:rsidP="00F97DBC">
      <w:pPr>
        <w:spacing w:after="0" w:line="240" w:lineRule="auto"/>
        <w:jc w:val="both"/>
        <w:rPr>
          <w:rFonts w:ascii="Times New Roman" w:hAnsi="Times New Roman"/>
          <w:sz w:val="24"/>
          <w:szCs w:val="24"/>
        </w:rPr>
      </w:pPr>
    </w:p>
    <w:p w:rsidR="00F97DBC" w:rsidRDefault="00F97DBC" w:rsidP="00F97DBC">
      <w:pPr>
        <w:spacing w:after="0" w:line="240" w:lineRule="auto"/>
        <w:jc w:val="both"/>
        <w:rPr>
          <w:rFonts w:ascii="Times New Roman" w:hAnsi="Times New Roman"/>
          <w:sz w:val="24"/>
          <w:szCs w:val="24"/>
        </w:rPr>
      </w:pPr>
      <w:r w:rsidRPr="009E5077">
        <w:rPr>
          <w:rFonts w:ascii="Times New Roman" w:hAnsi="Times New Roman"/>
          <w:sz w:val="24"/>
          <w:szCs w:val="24"/>
        </w:rPr>
        <w:t xml:space="preserve">Okafor, R.U. (2009). 4-circle base Triangular model in ageing and health </w:t>
      </w:r>
    </w:p>
    <w:p w:rsidR="004F6AE4" w:rsidRDefault="004F6AE4" w:rsidP="00F97DBC">
      <w:pPr>
        <w:spacing w:line="240" w:lineRule="auto"/>
        <w:jc w:val="both"/>
        <w:rPr>
          <w:rFonts w:ascii="Times New Roman" w:hAnsi="Times New Roman"/>
          <w:b/>
          <w:sz w:val="24"/>
          <w:szCs w:val="24"/>
        </w:rPr>
      </w:pPr>
    </w:p>
    <w:p w:rsidR="004F6AE4" w:rsidRDefault="004F6AE4" w:rsidP="00F97DBC">
      <w:pPr>
        <w:spacing w:line="240" w:lineRule="auto"/>
        <w:jc w:val="both"/>
        <w:rPr>
          <w:rFonts w:ascii="Times New Roman" w:hAnsi="Times New Roman"/>
          <w:b/>
          <w:sz w:val="24"/>
          <w:szCs w:val="24"/>
        </w:rPr>
      </w:pPr>
    </w:p>
    <w:p w:rsidR="00F97DBC" w:rsidRPr="009E5077" w:rsidRDefault="00F97DBC" w:rsidP="00F97DBC">
      <w:pPr>
        <w:spacing w:line="240" w:lineRule="auto"/>
        <w:jc w:val="both"/>
        <w:rPr>
          <w:rFonts w:ascii="Times New Roman" w:hAnsi="Times New Roman"/>
          <w:sz w:val="24"/>
          <w:szCs w:val="24"/>
        </w:rPr>
      </w:pPr>
      <w:r w:rsidRPr="009E5077">
        <w:rPr>
          <w:rFonts w:ascii="Times New Roman" w:hAnsi="Times New Roman"/>
          <w:b/>
          <w:sz w:val="24"/>
          <w:szCs w:val="24"/>
        </w:rPr>
        <w:lastRenderedPageBreak/>
        <w:t>Table</w:t>
      </w:r>
      <w:r>
        <w:rPr>
          <w:rFonts w:ascii="Times New Roman" w:hAnsi="Times New Roman"/>
          <w:b/>
          <w:sz w:val="24"/>
          <w:szCs w:val="24"/>
        </w:rPr>
        <w:t xml:space="preserve"> </w:t>
      </w:r>
      <w:r w:rsidRPr="009E5077">
        <w:rPr>
          <w:rFonts w:ascii="Times New Roman" w:hAnsi="Times New Roman"/>
          <w:b/>
          <w:sz w:val="24"/>
          <w:szCs w:val="24"/>
        </w:rPr>
        <w:t>1.</w:t>
      </w:r>
      <w:r>
        <w:rPr>
          <w:rFonts w:ascii="Times New Roman" w:hAnsi="Times New Roman"/>
          <w:b/>
          <w:sz w:val="24"/>
          <w:szCs w:val="24"/>
        </w:rPr>
        <w:t xml:space="preserve"> </w:t>
      </w:r>
      <w:r w:rsidRPr="009E5077">
        <w:rPr>
          <w:rFonts w:ascii="Times New Roman" w:hAnsi="Times New Roman"/>
          <w:b/>
          <w:sz w:val="24"/>
          <w:szCs w:val="24"/>
        </w:rPr>
        <w:t>Mean Responses of the Teachers on</w:t>
      </w:r>
      <w:r>
        <w:rPr>
          <w:rFonts w:ascii="Times New Roman" w:hAnsi="Times New Roman"/>
          <w:b/>
          <w:sz w:val="24"/>
          <w:szCs w:val="24"/>
        </w:rPr>
        <w:t xml:space="preserve"> Frequency of</w:t>
      </w:r>
      <w:r w:rsidRPr="009E5077">
        <w:rPr>
          <w:rFonts w:ascii="Times New Roman" w:hAnsi="Times New Roman"/>
          <w:b/>
          <w:sz w:val="24"/>
          <w:szCs w:val="24"/>
        </w:rPr>
        <w:t xml:space="preserve"> Substance Use Risk </w:t>
      </w:r>
      <w:r>
        <w:rPr>
          <w:rFonts w:ascii="Times New Roman" w:hAnsi="Times New Roman"/>
          <w:b/>
          <w:sz w:val="24"/>
          <w:szCs w:val="24"/>
        </w:rPr>
        <w:tab/>
      </w:r>
      <w:r>
        <w:rPr>
          <w:rFonts w:ascii="Times New Roman" w:hAnsi="Times New Roman"/>
          <w:b/>
          <w:sz w:val="24"/>
          <w:szCs w:val="24"/>
        </w:rPr>
        <w:tab/>
      </w:r>
      <w:r w:rsidRPr="009E5077">
        <w:rPr>
          <w:rFonts w:ascii="Times New Roman" w:hAnsi="Times New Roman"/>
          <w:b/>
          <w:sz w:val="24"/>
          <w:szCs w:val="24"/>
        </w:rPr>
        <w:t>Behaviours.  (</w:t>
      </w:r>
      <w:r w:rsidRPr="009E5077">
        <w:rPr>
          <w:rFonts w:ascii="Times New Roman" w:hAnsi="Times New Roman"/>
          <w:sz w:val="24"/>
          <w:szCs w:val="24"/>
        </w:rPr>
        <w:t>n=155)</w:t>
      </w:r>
    </w:p>
    <w:tbl>
      <w:tblPr>
        <w:tblW w:w="0" w:type="auto"/>
        <w:tblLook w:val="04A0"/>
      </w:tblPr>
      <w:tblGrid>
        <w:gridCol w:w="652"/>
        <w:gridCol w:w="5396"/>
        <w:gridCol w:w="1260"/>
        <w:gridCol w:w="1692"/>
      </w:tblGrid>
      <w:tr w:rsidR="00F97DBC" w:rsidRPr="009E5077" w:rsidTr="0002078F">
        <w:tc>
          <w:tcPr>
            <w:tcW w:w="652"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S/N</w:t>
            </w:r>
          </w:p>
        </w:tc>
        <w:tc>
          <w:tcPr>
            <w:tcW w:w="5396"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Item Statement</w:t>
            </w:r>
          </w:p>
        </w:tc>
        <w:tc>
          <w:tcPr>
            <w:tcW w:w="1260" w:type="dxa"/>
            <w:tcBorders>
              <w:top w:val="single" w:sz="4" w:space="0" w:color="000000"/>
              <w:bottom w:val="single" w:sz="4" w:space="0" w:color="000000"/>
            </w:tcBorders>
          </w:tcPr>
          <w:p w:rsidR="00F97DBC" w:rsidRPr="009E5077" w:rsidRDefault="00090700" w:rsidP="0002078F">
            <w:pPr>
              <w:spacing w:after="0" w:line="240" w:lineRule="auto"/>
              <w:jc w:val="center"/>
              <w:rPr>
                <w:rFonts w:ascii="Times New Roman" w:hAnsi="Times New Roman"/>
                <w:b/>
                <w:sz w:val="24"/>
                <w:szCs w:val="24"/>
              </w:rPr>
            </w:pPr>
            <w:r>
              <w:rPr>
                <w:rFonts w:ascii="Times New Roman" w:hAnsi="Times New Roman"/>
                <w:b/>
                <w:noProof/>
                <w:sz w:val="24"/>
                <w:szCs w:val="24"/>
              </w:rPr>
              <w:pict>
                <v:line id="_x0000_s1032" style="position:absolute;left:0;text-align:left;z-index:251667456;mso-position-horizontal-relative:text;mso-position-vertical-relative:text" from="21.55pt,1pt" to="32.7pt,1pt"/>
              </w:pict>
            </w:r>
            <w:r w:rsidR="00F97DBC" w:rsidRPr="009E5077">
              <w:rPr>
                <w:rFonts w:ascii="Times New Roman" w:hAnsi="Times New Roman"/>
                <w:b/>
                <w:sz w:val="24"/>
                <w:szCs w:val="24"/>
              </w:rPr>
              <w:t>X</w:t>
            </w:r>
          </w:p>
        </w:tc>
        <w:tc>
          <w:tcPr>
            <w:tcW w:w="1692"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Decision</w:t>
            </w:r>
          </w:p>
        </w:tc>
      </w:tr>
      <w:tr w:rsidR="00F97DBC" w:rsidRPr="009E5077" w:rsidTr="0002078F">
        <w:tc>
          <w:tcPr>
            <w:tcW w:w="652"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2.</w:t>
            </w:r>
          </w:p>
        </w:tc>
        <w:tc>
          <w:tcPr>
            <w:tcW w:w="5396"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Teachers’ daily smoking of sticks of cigarette </w:t>
            </w:r>
          </w:p>
        </w:tc>
        <w:tc>
          <w:tcPr>
            <w:tcW w:w="1260"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1.06</w:t>
            </w:r>
          </w:p>
        </w:tc>
        <w:tc>
          <w:tcPr>
            <w:tcW w:w="1692" w:type="dxa"/>
            <w:tcBorders>
              <w:top w:val="single" w:sz="4" w:space="0" w:color="000000"/>
            </w:tcBorders>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652"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3.</w:t>
            </w:r>
          </w:p>
        </w:tc>
        <w:tc>
          <w:tcPr>
            <w:tcW w:w="5396"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daily taking of 2 sticks of cigarette in a row</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1.06</w:t>
            </w:r>
          </w:p>
        </w:tc>
        <w:tc>
          <w:tcPr>
            <w:tcW w:w="1692" w:type="dxa"/>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652"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4.</w:t>
            </w:r>
          </w:p>
        </w:tc>
        <w:tc>
          <w:tcPr>
            <w:tcW w:w="5396"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daily use of snuff</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1.05</w:t>
            </w:r>
          </w:p>
        </w:tc>
        <w:tc>
          <w:tcPr>
            <w:tcW w:w="1692" w:type="dxa"/>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652"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5.</w:t>
            </w:r>
          </w:p>
        </w:tc>
        <w:tc>
          <w:tcPr>
            <w:tcW w:w="5396"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lifetime marijuana use</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1.07</w:t>
            </w:r>
          </w:p>
        </w:tc>
        <w:tc>
          <w:tcPr>
            <w:tcW w:w="1692" w:type="dxa"/>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652"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6.</w:t>
            </w:r>
          </w:p>
        </w:tc>
        <w:tc>
          <w:tcPr>
            <w:tcW w:w="5396"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daily use of marijuana</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1.03</w:t>
            </w:r>
          </w:p>
        </w:tc>
        <w:tc>
          <w:tcPr>
            <w:tcW w:w="1692" w:type="dxa"/>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652"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7.</w:t>
            </w:r>
          </w:p>
        </w:tc>
        <w:tc>
          <w:tcPr>
            <w:tcW w:w="5396"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Frequency of teachers’ use of self/non professionals prescribed drugs.</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1.87</w:t>
            </w:r>
          </w:p>
        </w:tc>
        <w:tc>
          <w:tcPr>
            <w:tcW w:w="1692" w:type="dxa"/>
          </w:tcPr>
          <w:p w:rsidR="00F97DBC" w:rsidRPr="009E5077" w:rsidRDefault="00F97DBC" w:rsidP="0002078F">
            <w:pPr>
              <w:spacing w:after="0" w:line="240" w:lineRule="auto"/>
              <w:rPr>
                <w:rFonts w:ascii="Times New Roman" w:hAnsi="Times New Roman"/>
                <w:sz w:val="24"/>
                <w:szCs w:val="24"/>
              </w:rPr>
            </w:pPr>
            <w:r w:rsidRPr="009E5077">
              <w:rPr>
                <w:rFonts w:ascii="Times New Roman" w:hAnsi="Times New Roman"/>
                <w:sz w:val="24"/>
                <w:szCs w:val="24"/>
              </w:rPr>
              <w:t xml:space="preserve">Rarely </w:t>
            </w:r>
          </w:p>
        </w:tc>
      </w:tr>
      <w:tr w:rsidR="00F97DBC" w:rsidRPr="009E5077" w:rsidTr="0002078F">
        <w:tc>
          <w:tcPr>
            <w:tcW w:w="652" w:type="dxa"/>
            <w:tcBorders>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tc>
        <w:tc>
          <w:tcPr>
            <w:tcW w:w="5396" w:type="dxa"/>
            <w:tcBorders>
              <w:bottom w:val="single" w:sz="4" w:space="0" w:color="000000"/>
            </w:tcBorders>
          </w:tcPr>
          <w:p w:rsidR="00F97DBC" w:rsidRPr="009E5077" w:rsidRDefault="00F97DBC" w:rsidP="0002078F">
            <w:pPr>
              <w:spacing w:after="0" w:line="240" w:lineRule="auto"/>
              <w:jc w:val="both"/>
              <w:rPr>
                <w:rFonts w:ascii="Times New Roman" w:hAnsi="Times New Roman"/>
                <w:b/>
                <w:sz w:val="24"/>
                <w:szCs w:val="24"/>
              </w:rPr>
            </w:pPr>
            <w:r w:rsidRPr="009E5077">
              <w:rPr>
                <w:rFonts w:ascii="Times New Roman" w:hAnsi="Times New Roman"/>
                <w:b/>
                <w:sz w:val="24"/>
                <w:szCs w:val="24"/>
              </w:rPr>
              <w:t>Grand Mean</w:t>
            </w:r>
          </w:p>
        </w:tc>
        <w:tc>
          <w:tcPr>
            <w:tcW w:w="1260" w:type="dxa"/>
            <w:tcBorders>
              <w:bottom w:val="single" w:sz="4" w:space="0" w:color="000000"/>
            </w:tcBorders>
          </w:tcPr>
          <w:p w:rsidR="00F97DBC" w:rsidRPr="009E5077" w:rsidRDefault="00F97DBC" w:rsidP="0002078F">
            <w:pPr>
              <w:spacing w:after="0" w:line="240" w:lineRule="auto"/>
              <w:jc w:val="both"/>
              <w:rPr>
                <w:rFonts w:ascii="Times New Roman" w:hAnsi="Times New Roman"/>
                <w:b/>
                <w:sz w:val="24"/>
                <w:szCs w:val="24"/>
              </w:rPr>
            </w:pPr>
            <w:r w:rsidRPr="009E5077">
              <w:rPr>
                <w:rFonts w:ascii="Times New Roman" w:hAnsi="Times New Roman"/>
                <w:b/>
                <w:sz w:val="24"/>
                <w:szCs w:val="24"/>
              </w:rPr>
              <w:t>1.19</w:t>
            </w:r>
          </w:p>
        </w:tc>
        <w:tc>
          <w:tcPr>
            <w:tcW w:w="1692" w:type="dxa"/>
            <w:tcBorders>
              <w:bottom w:val="single" w:sz="4" w:space="0" w:color="000000"/>
            </w:tcBorders>
          </w:tcPr>
          <w:p w:rsidR="00F97DBC" w:rsidRPr="009E5077" w:rsidRDefault="00F97DBC" w:rsidP="0002078F">
            <w:pPr>
              <w:spacing w:after="0" w:line="240" w:lineRule="auto"/>
              <w:rPr>
                <w:rFonts w:ascii="Times New Roman" w:hAnsi="Times New Roman"/>
                <w:b/>
                <w:sz w:val="24"/>
                <w:szCs w:val="24"/>
              </w:rPr>
            </w:pPr>
            <w:r w:rsidRPr="009E5077">
              <w:rPr>
                <w:rFonts w:ascii="Times New Roman" w:hAnsi="Times New Roman"/>
                <w:b/>
                <w:sz w:val="24"/>
                <w:szCs w:val="24"/>
              </w:rPr>
              <w:t xml:space="preserve">Never </w:t>
            </w:r>
          </w:p>
        </w:tc>
      </w:tr>
    </w:tbl>
    <w:p w:rsidR="00F97DBC" w:rsidRDefault="00F97DBC" w:rsidP="00F97DBC">
      <w:pPr>
        <w:spacing w:after="0" w:line="240" w:lineRule="auto"/>
        <w:jc w:val="both"/>
        <w:rPr>
          <w:rFonts w:ascii="Times New Roman" w:hAnsi="Times New Roman"/>
          <w:b/>
          <w:sz w:val="24"/>
          <w:szCs w:val="24"/>
        </w:rPr>
      </w:pPr>
    </w:p>
    <w:p w:rsidR="00F97DBC" w:rsidRDefault="00F97DBC" w:rsidP="00F97DBC">
      <w:pPr>
        <w:spacing w:after="0" w:line="240" w:lineRule="auto"/>
        <w:jc w:val="both"/>
        <w:rPr>
          <w:rFonts w:ascii="Times New Roman" w:hAnsi="Times New Roman"/>
          <w:b/>
          <w:sz w:val="24"/>
          <w:szCs w:val="24"/>
        </w:rPr>
      </w:pPr>
    </w:p>
    <w:p w:rsidR="00F97DBC" w:rsidRPr="009E5077" w:rsidRDefault="00F97DBC" w:rsidP="00F97DBC">
      <w:pPr>
        <w:spacing w:after="0" w:line="240" w:lineRule="auto"/>
        <w:jc w:val="both"/>
        <w:rPr>
          <w:rFonts w:ascii="Times New Roman" w:hAnsi="Times New Roman"/>
          <w:b/>
          <w:sz w:val="24"/>
          <w:szCs w:val="24"/>
        </w:rPr>
      </w:pPr>
      <w:r w:rsidRPr="009E5077">
        <w:rPr>
          <w:rFonts w:ascii="Times New Roman" w:hAnsi="Times New Roman"/>
          <w:b/>
          <w:sz w:val="24"/>
          <w:szCs w:val="24"/>
        </w:rPr>
        <w:t>Table 2. Mean Responses of the Teachers on</w:t>
      </w:r>
      <w:r>
        <w:rPr>
          <w:rFonts w:ascii="Times New Roman" w:hAnsi="Times New Roman"/>
          <w:b/>
          <w:sz w:val="24"/>
          <w:szCs w:val="24"/>
        </w:rPr>
        <w:t xml:space="preserve"> Frequency of</w:t>
      </w:r>
      <w:r w:rsidRPr="009E5077">
        <w:rPr>
          <w:rFonts w:ascii="Times New Roman" w:hAnsi="Times New Roman"/>
          <w:b/>
          <w:sz w:val="24"/>
          <w:szCs w:val="24"/>
        </w:rPr>
        <w:t xml:space="preserve"> Substance Use Risk </w:t>
      </w:r>
      <w:r>
        <w:rPr>
          <w:rFonts w:ascii="Times New Roman" w:hAnsi="Times New Roman"/>
          <w:b/>
          <w:sz w:val="24"/>
          <w:szCs w:val="24"/>
        </w:rPr>
        <w:tab/>
        <w:t xml:space="preserve">  </w:t>
      </w:r>
      <w:r>
        <w:rPr>
          <w:rFonts w:ascii="Times New Roman" w:hAnsi="Times New Roman"/>
          <w:b/>
          <w:sz w:val="24"/>
          <w:szCs w:val="24"/>
        </w:rPr>
        <w:tab/>
      </w:r>
      <w:r w:rsidRPr="009E5077">
        <w:rPr>
          <w:rFonts w:ascii="Times New Roman" w:hAnsi="Times New Roman"/>
          <w:b/>
          <w:sz w:val="24"/>
          <w:szCs w:val="24"/>
        </w:rPr>
        <w:t xml:space="preserve">Behaviours According to Gender.( </w:t>
      </w:r>
      <w:r w:rsidRPr="009E5077">
        <w:rPr>
          <w:rFonts w:ascii="Times New Roman" w:hAnsi="Times New Roman"/>
          <w:sz w:val="24"/>
          <w:szCs w:val="24"/>
        </w:rPr>
        <w:t>Male = 64,  Female = 91</w:t>
      </w:r>
      <w:r w:rsidRPr="009E5077">
        <w:rPr>
          <w:rFonts w:ascii="Times New Roman" w:hAnsi="Times New Roman"/>
          <w:b/>
          <w:sz w:val="24"/>
          <w:szCs w:val="24"/>
        </w:rPr>
        <w:t>)</w:t>
      </w:r>
    </w:p>
    <w:tbl>
      <w:tblPr>
        <w:tblW w:w="9648" w:type="dxa"/>
        <w:tblLook w:val="04A0"/>
      </w:tblPr>
      <w:tblGrid>
        <w:gridCol w:w="828"/>
        <w:gridCol w:w="4500"/>
        <w:gridCol w:w="1170"/>
        <w:gridCol w:w="990"/>
        <w:gridCol w:w="900"/>
        <w:gridCol w:w="1260"/>
      </w:tblGrid>
      <w:tr w:rsidR="00F97DBC" w:rsidRPr="009E5077" w:rsidTr="0002078F">
        <w:tc>
          <w:tcPr>
            <w:tcW w:w="828"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b/>
                <w:sz w:val="24"/>
                <w:szCs w:val="24"/>
              </w:rPr>
            </w:pPr>
            <w:r w:rsidRPr="009E5077">
              <w:rPr>
                <w:rFonts w:ascii="Times New Roman" w:hAnsi="Times New Roman"/>
                <w:b/>
                <w:sz w:val="24"/>
                <w:szCs w:val="24"/>
              </w:rPr>
              <w:t>S/No</w:t>
            </w:r>
          </w:p>
        </w:tc>
        <w:tc>
          <w:tcPr>
            <w:tcW w:w="45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Item Statement</w:t>
            </w:r>
          </w:p>
        </w:tc>
        <w:tc>
          <w:tcPr>
            <w:tcW w:w="117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Gender</w:t>
            </w:r>
          </w:p>
        </w:tc>
        <w:tc>
          <w:tcPr>
            <w:tcW w:w="990" w:type="dxa"/>
            <w:tcBorders>
              <w:top w:val="single" w:sz="4" w:space="0" w:color="000000"/>
              <w:bottom w:val="single" w:sz="4" w:space="0" w:color="000000"/>
            </w:tcBorders>
          </w:tcPr>
          <w:p w:rsidR="00F97DBC" w:rsidRPr="009E5077" w:rsidRDefault="00090700" w:rsidP="0002078F">
            <w:pPr>
              <w:spacing w:after="0" w:line="240" w:lineRule="auto"/>
              <w:jc w:val="center"/>
              <w:rPr>
                <w:rFonts w:ascii="Times New Roman" w:hAnsi="Times New Roman"/>
                <w:b/>
                <w:sz w:val="24"/>
                <w:szCs w:val="24"/>
              </w:rPr>
            </w:pPr>
            <w:r>
              <w:rPr>
                <w:rFonts w:ascii="Times New Roman" w:hAnsi="Times New Roman"/>
                <w:b/>
                <w:noProof/>
                <w:sz w:val="24"/>
                <w:szCs w:val="24"/>
              </w:rPr>
              <w:pict>
                <v:shape id="_x0000_s1033" style="position:absolute;left:0;text-align:left;margin-left:15.75pt;margin-top:1.8pt;width:6pt;height:9.45pt;z-index:251668480;mso-position-horizontal-relative:text;mso-position-vertical-relative:text" coordsize="154,1" path="m,hdc51,,103,,154,e" filled="f">
                  <v:path arrowok="t"/>
                </v:shape>
              </w:pict>
            </w:r>
            <w:r w:rsidR="00F97DBC" w:rsidRPr="009E5077">
              <w:rPr>
                <w:rFonts w:ascii="Times New Roman" w:hAnsi="Times New Roman"/>
                <w:b/>
                <w:sz w:val="24"/>
                <w:szCs w:val="24"/>
              </w:rPr>
              <w:t>X</w:t>
            </w:r>
          </w:p>
        </w:tc>
        <w:tc>
          <w:tcPr>
            <w:tcW w:w="9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SD</w:t>
            </w:r>
          </w:p>
        </w:tc>
        <w:tc>
          <w:tcPr>
            <w:tcW w:w="126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Decision</w:t>
            </w:r>
          </w:p>
        </w:tc>
      </w:tr>
      <w:tr w:rsidR="00F97DBC" w:rsidRPr="009E5077" w:rsidTr="0002078F">
        <w:tc>
          <w:tcPr>
            <w:tcW w:w="828"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2.</w:t>
            </w:r>
          </w:p>
        </w:tc>
        <w:tc>
          <w:tcPr>
            <w:tcW w:w="4500"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daily smoking of sticks of cigarette.</w:t>
            </w:r>
          </w:p>
        </w:tc>
        <w:tc>
          <w:tcPr>
            <w:tcW w:w="1170" w:type="dxa"/>
            <w:tcBorders>
              <w:top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 xml:space="preserve">F </w:t>
            </w:r>
          </w:p>
        </w:tc>
        <w:tc>
          <w:tcPr>
            <w:tcW w:w="990"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1.04</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1.02</w:t>
            </w:r>
          </w:p>
        </w:tc>
        <w:tc>
          <w:tcPr>
            <w:tcW w:w="900"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0.56</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0.59</w:t>
            </w:r>
            <w:r>
              <w:rPr>
                <w:rFonts w:ascii="Times New Roman" w:hAnsi="Times New Roman"/>
                <w:sz w:val="24"/>
                <w:szCs w:val="24"/>
              </w:rPr>
              <w:t xml:space="preserve">      </w:t>
            </w:r>
            <w:r w:rsidRPr="009E5077">
              <w:rPr>
                <w:rFonts w:ascii="Times New Roman" w:hAnsi="Times New Roman"/>
                <w:sz w:val="24"/>
                <w:szCs w:val="24"/>
              </w:rPr>
              <w:t xml:space="preserve">   </w:t>
            </w:r>
          </w:p>
        </w:tc>
        <w:tc>
          <w:tcPr>
            <w:tcW w:w="1260" w:type="dxa"/>
            <w:tcBorders>
              <w:top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3.</w:t>
            </w:r>
          </w:p>
        </w:tc>
        <w:tc>
          <w:tcPr>
            <w:tcW w:w="45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daily taking of 2 sticks of cigarette in a row</w:t>
            </w:r>
          </w:p>
        </w:tc>
        <w:tc>
          <w:tcPr>
            <w:tcW w:w="1170" w:type="dxa"/>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F</w:t>
            </w:r>
          </w:p>
        </w:tc>
        <w:tc>
          <w:tcPr>
            <w:tcW w:w="99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1.08</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1.04</w:t>
            </w:r>
          </w:p>
        </w:tc>
        <w:tc>
          <w:tcPr>
            <w:tcW w:w="9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0.88</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0.80</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4.</w:t>
            </w:r>
          </w:p>
        </w:tc>
        <w:tc>
          <w:tcPr>
            <w:tcW w:w="45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Teachers’ daily use of snuff </w:t>
            </w:r>
          </w:p>
        </w:tc>
        <w:tc>
          <w:tcPr>
            <w:tcW w:w="1170" w:type="dxa"/>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F</w:t>
            </w:r>
          </w:p>
        </w:tc>
        <w:tc>
          <w:tcPr>
            <w:tcW w:w="99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1.13</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1.02</w:t>
            </w:r>
          </w:p>
        </w:tc>
        <w:tc>
          <w:tcPr>
            <w:tcW w:w="9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0.67</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0.59</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5.</w:t>
            </w:r>
          </w:p>
        </w:tc>
        <w:tc>
          <w:tcPr>
            <w:tcW w:w="45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Teachers’ lifestyle marijuana use</w:t>
            </w:r>
          </w:p>
        </w:tc>
        <w:tc>
          <w:tcPr>
            <w:tcW w:w="1170" w:type="dxa"/>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 xml:space="preserve">F </w:t>
            </w:r>
          </w:p>
        </w:tc>
        <w:tc>
          <w:tcPr>
            <w:tcW w:w="99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1.12</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1.01</w:t>
            </w:r>
          </w:p>
        </w:tc>
        <w:tc>
          <w:tcPr>
            <w:tcW w:w="9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0.66</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0.67</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6.</w:t>
            </w:r>
          </w:p>
        </w:tc>
        <w:tc>
          <w:tcPr>
            <w:tcW w:w="45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Teachers’ daily use of marijuana </w:t>
            </w:r>
          </w:p>
        </w:tc>
        <w:tc>
          <w:tcPr>
            <w:tcW w:w="1170" w:type="dxa"/>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 xml:space="preserve">F </w:t>
            </w:r>
          </w:p>
        </w:tc>
        <w:tc>
          <w:tcPr>
            <w:tcW w:w="99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1.09</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1.00</w:t>
            </w:r>
          </w:p>
        </w:tc>
        <w:tc>
          <w:tcPr>
            <w:tcW w:w="9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0.55</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0.53</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Never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7.</w:t>
            </w:r>
          </w:p>
        </w:tc>
        <w:tc>
          <w:tcPr>
            <w:tcW w:w="45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Frequency of teachers use of self/non professionals prescribed drugs</w:t>
            </w:r>
          </w:p>
        </w:tc>
        <w:tc>
          <w:tcPr>
            <w:tcW w:w="1170" w:type="dxa"/>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M</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F</w:t>
            </w:r>
          </w:p>
        </w:tc>
        <w:tc>
          <w:tcPr>
            <w:tcW w:w="99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1.93</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1.89</w:t>
            </w:r>
          </w:p>
        </w:tc>
        <w:tc>
          <w:tcPr>
            <w:tcW w:w="90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0.87</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0.81</w:t>
            </w:r>
          </w:p>
        </w:tc>
        <w:tc>
          <w:tcPr>
            <w:tcW w:w="1260" w:type="dxa"/>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Rarely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Rarely </w:t>
            </w:r>
          </w:p>
        </w:tc>
      </w:tr>
      <w:tr w:rsidR="00F97DBC" w:rsidRPr="009E5077" w:rsidTr="0002078F">
        <w:tc>
          <w:tcPr>
            <w:tcW w:w="828" w:type="dxa"/>
          </w:tcPr>
          <w:p w:rsidR="00F97DBC" w:rsidRPr="009E5077" w:rsidRDefault="00F97DBC" w:rsidP="0002078F">
            <w:pPr>
              <w:spacing w:after="0" w:line="240" w:lineRule="auto"/>
              <w:jc w:val="both"/>
              <w:rPr>
                <w:rFonts w:ascii="Times New Roman" w:hAnsi="Times New Roman"/>
                <w:sz w:val="24"/>
                <w:szCs w:val="24"/>
              </w:rPr>
            </w:pPr>
          </w:p>
        </w:tc>
        <w:tc>
          <w:tcPr>
            <w:tcW w:w="4500" w:type="dxa"/>
            <w:tcBorders>
              <w:bottom w:val="single" w:sz="4" w:space="0" w:color="000000"/>
            </w:tcBorders>
          </w:tcPr>
          <w:p w:rsidR="00F97DBC" w:rsidRPr="009E5077" w:rsidRDefault="00F97DBC" w:rsidP="0002078F">
            <w:pPr>
              <w:spacing w:after="0" w:line="240" w:lineRule="auto"/>
              <w:jc w:val="both"/>
              <w:rPr>
                <w:rFonts w:ascii="Times New Roman" w:hAnsi="Times New Roman"/>
                <w:b/>
                <w:sz w:val="24"/>
                <w:szCs w:val="24"/>
              </w:rPr>
            </w:pPr>
            <w:r w:rsidRPr="009E5077">
              <w:rPr>
                <w:rFonts w:ascii="Times New Roman" w:hAnsi="Times New Roman"/>
                <w:b/>
                <w:sz w:val="24"/>
                <w:szCs w:val="24"/>
              </w:rPr>
              <w:t>Grand Mean</w:t>
            </w:r>
          </w:p>
        </w:tc>
        <w:tc>
          <w:tcPr>
            <w:tcW w:w="1170" w:type="dxa"/>
            <w:tcBorders>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 xml:space="preserve">M </w:t>
            </w:r>
          </w:p>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 xml:space="preserve">F  </w:t>
            </w:r>
          </w:p>
        </w:tc>
        <w:tc>
          <w:tcPr>
            <w:tcW w:w="990" w:type="dxa"/>
            <w:tcBorders>
              <w:bottom w:val="single" w:sz="4" w:space="0" w:color="000000"/>
            </w:tcBorders>
          </w:tcPr>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1.23</w:t>
            </w:r>
          </w:p>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1.16</w:t>
            </w:r>
          </w:p>
        </w:tc>
        <w:tc>
          <w:tcPr>
            <w:tcW w:w="900" w:type="dxa"/>
            <w:tcBorders>
              <w:bottom w:val="single" w:sz="4" w:space="0" w:color="000000"/>
            </w:tcBorders>
          </w:tcPr>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0.69</w:t>
            </w:r>
          </w:p>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0.66</w:t>
            </w:r>
          </w:p>
        </w:tc>
        <w:tc>
          <w:tcPr>
            <w:tcW w:w="1260" w:type="dxa"/>
            <w:tcBorders>
              <w:bottom w:val="single" w:sz="4" w:space="0" w:color="000000"/>
            </w:tcBorders>
          </w:tcPr>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 xml:space="preserve">Never </w:t>
            </w:r>
          </w:p>
          <w:p w:rsidR="00F97DBC" w:rsidRPr="00244BAB" w:rsidRDefault="00F97DBC" w:rsidP="0002078F">
            <w:pPr>
              <w:spacing w:after="0" w:line="240" w:lineRule="auto"/>
              <w:jc w:val="both"/>
              <w:rPr>
                <w:rFonts w:ascii="Times New Roman" w:hAnsi="Times New Roman"/>
                <w:b/>
                <w:sz w:val="24"/>
                <w:szCs w:val="24"/>
              </w:rPr>
            </w:pPr>
            <w:r w:rsidRPr="00244BAB">
              <w:rPr>
                <w:rFonts w:ascii="Times New Roman" w:hAnsi="Times New Roman"/>
                <w:b/>
                <w:sz w:val="24"/>
                <w:szCs w:val="24"/>
              </w:rPr>
              <w:t xml:space="preserve">Never </w:t>
            </w:r>
          </w:p>
        </w:tc>
      </w:tr>
    </w:tbl>
    <w:p w:rsidR="00F97DBC" w:rsidRDefault="00F97DBC" w:rsidP="00F97DBC">
      <w:pPr>
        <w:spacing w:line="240" w:lineRule="auto"/>
        <w:ind w:left="1440" w:hanging="1440"/>
        <w:jc w:val="both"/>
        <w:rPr>
          <w:rFonts w:ascii="Times New Roman" w:hAnsi="Times New Roman"/>
          <w:b/>
          <w:sz w:val="24"/>
          <w:szCs w:val="24"/>
        </w:rPr>
      </w:pPr>
    </w:p>
    <w:p w:rsidR="00F97DBC" w:rsidRDefault="00F97DBC" w:rsidP="00F97DBC">
      <w:pPr>
        <w:spacing w:line="240" w:lineRule="auto"/>
        <w:ind w:left="1440" w:hanging="1440"/>
        <w:jc w:val="both"/>
        <w:rPr>
          <w:rFonts w:ascii="Times New Roman" w:hAnsi="Times New Roman"/>
          <w:b/>
          <w:sz w:val="24"/>
          <w:szCs w:val="24"/>
        </w:rPr>
      </w:pPr>
    </w:p>
    <w:p w:rsidR="00F97DBC" w:rsidRPr="00747BCF" w:rsidRDefault="00F97DBC" w:rsidP="00F97DBC">
      <w:pPr>
        <w:spacing w:line="240" w:lineRule="auto"/>
        <w:ind w:left="1440" w:hanging="1440"/>
        <w:jc w:val="both"/>
        <w:rPr>
          <w:rFonts w:ascii="Times New Roman" w:hAnsi="Times New Roman"/>
          <w:b/>
          <w:sz w:val="24"/>
          <w:szCs w:val="24"/>
        </w:rPr>
      </w:pPr>
      <w:r w:rsidRPr="009E5077">
        <w:rPr>
          <w:rFonts w:ascii="Times New Roman" w:hAnsi="Times New Roman"/>
          <w:b/>
          <w:sz w:val="24"/>
          <w:szCs w:val="24"/>
        </w:rPr>
        <w:t>Table 3</w:t>
      </w:r>
      <w:r>
        <w:rPr>
          <w:rFonts w:ascii="Times New Roman" w:hAnsi="Times New Roman"/>
          <w:b/>
          <w:sz w:val="24"/>
          <w:szCs w:val="24"/>
        </w:rPr>
        <w:t>. t-test Statistic verifying the influence of gender on substance use risk behaviours of the teachers.</w:t>
      </w:r>
    </w:p>
    <w:tbl>
      <w:tblPr>
        <w:tblW w:w="0" w:type="auto"/>
        <w:tblLook w:val="04A0"/>
      </w:tblPr>
      <w:tblGrid>
        <w:gridCol w:w="1000"/>
        <w:gridCol w:w="1000"/>
        <w:gridCol w:w="1000"/>
        <w:gridCol w:w="1000"/>
        <w:gridCol w:w="1000"/>
        <w:gridCol w:w="1000"/>
        <w:gridCol w:w="1000"/>
        <w:gridCol w:w="1000"/>
        <w:gridCol w:w="1083"/>
      </w:tblGrid>
      <w:tr w:rsidR="00F97DBC" w:rsidRPr="009E5077" w:rsidTr="0002078F">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Gender</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n</w:t>
            </w:r>
          </w:p>
        </w:tc>
        <w:tc>
          <w:tcPr>
            <w:tcW w:w="1000" w:type="dxa"/>
            <w:tcBorders>
              <w:top w:val="single" w:sz="4" w:space="0" w:color="000000"/>
              <w:bottom w:val="single" w:sz="4" w:space="0" w:color="000000"/>
            </w:tcBorders>
          </w:tcPr>
          <w:p w:rsidR="00F97DBC" w:rsidRPr="009E5077" w:rsidRDefault="00090700" w:rsidP="0002078F">
            <w:pPr>
              <w:spacing w:after="0" w:line="240" w:lineRule="auto"/>
              <w:jc w:val="center"/>
              <w:rPr>
                <w:rFonts w:ascii="Times New Roman" w:hAnsi="Times New Roman"/>
                <w:b/>
                <w:sz w:val="24"/>
                <w:szCs w:val="24"/>
              </w:rPr>
            </w:pPr>
            <w:r>
              <w:rPr>
                <w:rFonts w:ascii="Times New Roman" w:hAnsi="Times New Roman"/>
                <w:b/>
                <w:noProof/>
                <w:sz w:val="24"/>
                <w:szCs w:val="24"/>
              </w:rPr>
              <w:pict>
                <v:line id="_x0000_s1034" style="position:absolute;left:0;text-align:left;z-index:251669504;mso-position-horizontal-relative:text;mso-position-vertical-relative:text" from="16.15pt,2.95pt" to="22.15pt,2.95pt"/>
              </w:pict>
            </w:r>
            <w:r w:rsidR="00F97DBC" w:rsidRPr="009E5077">
              <w:rPr>
                <w:rFonts w:ascii="Times New Roman" w:hAnsi="Times New Roman"/>
                <w:b/>
                <w:sz w:val="24"/>
                <w:szCs w:val="24"/>
              </w:rPr>
              <w:t>x</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SD</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df</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t-cal</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t-crit</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p</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b/>
                <w:sz w:val="24"/>
                <w:szCs w:val="24"/>
              </w:rPr>
            </w:pPr>
            <w:r w:rsidRPr="009E5077">
              <w:rPr>
                <w:rFonts w:ascii="Times New Roman" w:hAnsi="Times New Roman"/>
                <w:b/>
                <w:sz w:val="24"/>
                <w:szCs w:val="24"/>
              </w:rPr>
              <w:t>Decision</w:t>
            </w:r>
          </w:p>
        </w:tc>
      </w:tr>
      <w:tr w:rsidR="00F97DBC" w:rsidRPr="009E5077" w:rsidTr="0002078F">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Male </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Female </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center"/>
              <w:rPr>
                <w:rFonts w:ascii="Times New Roman" w:hAnsi="Times New Roman"/>
                <w:sz w:val="24"/>
                <w:szCs w:val="24"/>
              </w:rPr>
            </w:pPr>
            <w:r w:rsidRPr="009E5077">
              <w:rPr>
                <w:rFonts w:ascii="Times New Roman" w:hAnsi="Times New Roman"/>
                <w:sz w:val="24"/>
                <w:szCs w:val="24"/>
              </w:rPr>
              <w:t>64</w:t>
            </w:r>
          </w:p>
          <w:p w:rsidR="00F97DBC" w:rsidRPr="009E5077" w:rsidRDefault="00F97DBC" w:rsidP="0002078F">
            <w:pPr>
              <w:spacing w:after="0" w:line="240" w:lineRule="auto"/>
              <w:jc w:val="center"/>
              <w:rPr>
                <w:rFonts w:ascii="Times New Roman" w:hAnsi="Times New Roman"/>
                <w:sz w:val="24"/>
                <w:szCs w:val="24"/>
              </w:rPr>
            </w:pPr>
            <w:r w:rsidRPr="009E5077">
              <w:rPr>
                <w:rFonts w:ascii="Times New Roman" w:hAnsi="Times New Roman"/>
                <w:sz w:val="24"/>
                <w:szCs w:val="24"/>
              </w:rPr>
              <w:t>91</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1.23</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1.16</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0.69</w:t>
            </w: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0.66</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153</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0.018</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1.960</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.05</w:t>
            </w:r>
          </w:p>
        </w:tc>
        <w:tc>
          <w:tcPr>
            <w:tcW w:w="1000" w:type="dxa"/>
            <w:tcBorders>
              <w:top w:val="single" w:sz="4" w:space="0" w:color="000000"/>
              <w:bottom w:val="single" w:sz="4" w:space="0" w:color="000000"/>
            </w:tcBorders>
          </w:tcPr>
          <w:p w:rsidR="00F97DBC" w:rsidRPr="009E5077" w:rsidRDefault="00F97DBC" w:rsidP="0002078F">
            <w:pPr>
              <w:spacing w:after="0" w:line="240" w:lineRule="auto"/>
              <w:jc w:val="both"/>
              <w:rPr>
                <w:rFonts w:ascii="Times New Roman" w:hAnsi="Times New Roman"/>
                <w:sz w:val="24"/>
                <w:szCs w:val="24"/>
              </w:rPr>
            </w:pPr>
          </w:p>
          <w:p w:rsidR="00F97DBC" w:rsidRPr="009E5077" w:rsidRDefault="00F97DBC" w:rsidP="0002078F">
            <w:pPr>
              <w:spacing w:after="0" w:line="240" w:lineRule="auto"/>
              <w:jc w:val="both"/>
              <w:rPr>
                <w:rFonts w:ascii="Times New Roman" w:hAnsi="Times New Roman"/>
                <w:sz w:val="24"/>
                <w:szCs w:val="24"/>
              </w:rPr>
            </w:pPr>
            <w:r w:rsidRPr="009E5077">
              <w:rPr>
                <w:rFonts w:ascii="Times New Roman" w:hAnsi="Times New Roman"/>
                <w:sz w:val="24"/>
                <w:szCs w:val="24"/>
              </w:rPr>
              <w:t xml:space="preserve">Accept </w:t>
            </w:r>
          </w:p>
        </w:tc>
      </w:tr>
    </w:tbl>
    <w:p w:rsidR="00F97DBC" w:rsidRPr="009E5077" w:rsidRDefault="00F97DBC" w:rsidP="00F97DBC">
      <w:pPr>
        <w:spacing w:after="0" w:line="240" w:lineRule="auto"/>
        <w:jc w:val="both"/>
        <w:rPr>
          <w:rFonts w:ascii="Times New Roman" w:hAnsi="Times New Roman"/>
          <w:sz w:val="24"/>
          <w:szCs w:val="24"/>
        </w:rPr>
      </w:pPr>
    </w:p>
    <w:p w:rsidR="00184EC6" w:rsidRDefault="00F97DBC">
      <w:r>
        <w:t xml:space="preserve"> </w:t>
      </w:r>
    </w:p>
    <w:p w:rsidR="004B7ADC" w:rsidRDefault="004B7ADC" w:rsidP="004B7ADC">
      <w:pPr>
        <w:rPr>
          <w:rFonts w:ascii="Times New Roman" w:hAnsi="Times New Roman"/>
          <w:b/>
          <w:sz w:val="24"/>
          <w:szCs w:val="24"/>
        </w:rPr>
      </w:pPr>
    </w:p>
    <w:p w:rsidR="00184EC6" w:rsidRDefault="00184EC6" w:rsidP="004B7ADC">
      <w:pPr>
        <w:jc w:val="center"/>
        <w:rPr>
          <w:rFonts w:ascii="Times New Roman" w:hAnsi="Times New Roman"/>
          <w:b/>
        </w:rPr>
      </w:pPr>
      <w:r w:rsidRPr="00BA6799">
        <w:rPr>
          <w:rFonts w:ascii="Times New Roman" w:hAnsi="Times New Roman"/>
          <w:b/>
          <w:sz w:val="24"/>
          <w:szCs w:val="24"/>
        </w:rPr>
        <w:lastRenderedPageBreak/>
        <w:t>Substance Use Risk Behaviours Among Secondary School Teachers in Enugu Education Zone,</w:t>
      </w:r>
      <w:r w:rsidRPr="0052246D">
        <w:rPr>
          <w:rFonts w:ascii="Times New Roman" w:hAnsi="Times New Roman"/>
          <w:b/>
        </w:rPr>
        <w:t xml:space="preserve"> Enugu State, Nigeria.</w:t>
      </w:r>
    </w:p>
    <w:p w:rsidR="00184EC6" w:rsidRPr="00850E6E" w:rsidRDefault="00184EC6" w:rsidP="00184EC6">
      <w:pPr>
        <w:pStyle w:val="NoSpacing"/>
        <w:rPr>
          <w:rFonts w:ascii="Times New Roman" w:hAnsi="Times New Roman"/>
          <w:b/>
          <w:i/>
        </w:rPr>
      </w:pPr>
      <w:r w:rsidRPr="00850E6E">
        <w:rPr>
          <w:rFonts w:ascii="Times New Roman" w:hAnsi="Times New Roman"/>
          <w:b/>
          <w:i/>
        </w:rPr>
        <w:t>Abstract</w:t>
      </w:r>
    </w:p>
    <w:p w:rsidR="00184EC6" w:rsidRPr="00BA6799" w:rsidRDefault="00184EC6" w:rsidP="00184EC6">
      <w:pPr>
        <w:pStyle w:val="NoSpacing"/>
        <w:spacing w:line="360" w:lineRule="auto"/>
        <w:jc w:val="both"/>
        <w:rPr>
          <w:rFonts w:ascii="Times New Roman" w:hAnsi="Times New Roman"/>
          <w:i/>
          <w:sz w:val="24"/>
          <w:szCs w:val="24"/>
        </w:rPr>
      </w:pPr>
      <w:r w:rsidRPr="00BA6799">
        <w:rPr>
          <w:rFonts w:ascii="Times New Roman" w:hAnsi="Times New Roman"/>
          <w:i/>
          <w:sz w:val="24"/>
          <w:szCs w:val="24"/>
        </w:rPr>
        <w:t>The increasing prevalent of lifestyle related diseases has attracted both local and international concern, that behavior modifications against diseases have become imperative, especially in a workplace such as school. Behaviours perceived as being risk factors for certain diseases can be very challenging to the positive alteration of negative lifestyles. It is in consideration of the enormity of this development to public health and productivity that the researcher was motivated to assess the frequency of substance use risk behaviours of secondary school teachers in Enugu education zone. The survey design was adopted for the study that involved a sample of 155 teachers drawn from a population of 1552 secondary school teachers in the zone, using the proportionate stratified random sampling technique. Instrument for data collection was a 7-item questionnaire known as Substance Use Risk Behaviour Questionnaire (SURBQ) adopted from the Youth Risk Behaviour Survey(YRBSS). The instrument comprised of two sections, A and B. Section A elicited information on the personal data of the respondent, while Section B comprised of 10 items with four response options. Data collection was done by the researcher with the help of two research assistants. All the copies of the questionnaire distributed were duly completed and qualified for data analysis. Data were analyzed using mean, and standard deviation, while the t-test statistic was employed to verify the influence of gender on the teachers’ involvement in substance use risk behaviours at .05 level of significance. It was found that the teachers rarely (x=1.87)indulge in  certain substance use risk behaviours such as use of self prescribed drugs. Implications of the findings for healthy living and sustainable development were articulated. Subsequently, it was recommended that a workplace health promotion for teachers be adopted to encourage the teachers change their risk behaviours for improved productivity and sustainable development.</w:t>
      </w:r>
    </w:p>
    <w:p w:rsidR="00184EC6" w:rsidRPr="00BA6799" w:rsidRDefault="00184EC6" w:rsidP="00184EC6">
      <w:pPr>
        <w:pStyle w:val="NoSpacing"/>
        <w:spacing w:line="360" w:lineRule="auto"/>
        <w:jc w:val="right"/>
        <w:rPr>
          <w:rFonts w:ascii="Times New Roman" w:hAnsi="Times New Roman"/>
          <w:b/>
          <w:sz w:val="24"/>
          <w:szCs w:val="24"/>
        </w:rPr>
      </w:pPr>
    </w:p>
    <w:p w:rsidR="00184EC6" w:rsidRDefault="00184EC6" w:rsidP="00184EC6">
      <w:pPr>
        <w:pStyle w:val="NoSpacing"/>
        <w:spacing w:line="360" w:lineRule="auto"/>
        <w:rPr>
          <w:rFonts w:ascii="Times New Roman" w:hAnsi="Times New Roman"/>
          <w:i/>
          <w:sz w:val="24"/>
          <w:szCs w:val="24"/>
        </w:rPr>
      </w:pPr>
      <w:r w:rsidRPr="00BA6799">
        <w:rPr>
          <w:rFonts w:ascii="Times New Roman" w:hAnsi="Times New Roman"/>
          <w:b/>
          <w:sz w:val="24"/>
          <w:szCs w:val="24"/>
        </w:rPr>
        <w:t xml:space="preserve">Key </w:t>
      </w:r>
      <w:r w:rsidRPr="00030D30">
        <w:rPr>
          <w:rFonts w:ascii="Times New Roman" w:hAnsi="Times New Roman"/>
          <w:b/>
          <w:i/>
          <w:sz w:val="24"/>
          <w:szCs w:val="24"/>
        </w:rPr>
        <w:t>Words:</w:t>
      </w:r>
      <w:r w:rsidRPr="00BA6799">
        <w:rPr>
          <w:rFonts w:ascii="Times New Roman" w:hAnsi="Times New Roman"/>
          <w:i/>
          <w:sz w:val="24"/>
          <w:szCs w:val="24"/>
        </w:rPr>
        <w:t xml:space="preserve"> Assessment, Substance use, Risk Behaviours, Teachers</w:t>
      </w:r>
      <w:r w:rsidR="00B74B42">
        <w:rPr>
          <w:rFonts w:ascii="Times New Roman" w:hAnsi="Times New Roman"/>
          <w:i/>
          <w:sz w:val="24"/>
          <w:szCs w:val="24"/>
        </w:rPr>
        <w:t>.</w:t>
      </w:r>
    </w:p>
    <w:p w:rsidR="00030D30" w:rsidRDefault="00030D30" w:rsidP="00184EC6">
      <w:pPr>
        <w:pStyle w:val="NoSpacing"/>
        <w:spacing w:line="360" w:lineRule="auto"/>
        <w:rPr>
          <w:rFonts w:ascii="Times New Roman" w:hAnsi="Times New Roman"/>
          <w:i/>
          <w:sz w:val="24"/>
          <w:szCs w:val="24"/>
        </w:rPr>
      </w:pPr>
    </w:p>
    <w:p w:rsidR="00B74B42" w:rsidRPr="00030D30" w:rsidRDefault="00B74B42" w:rsidP="00184EC6">
      <w:pPr>
        <w:pStyle w:val="NoSpacing"/>
        <w:spacing w:line="360" w:lineRule="auto"/>
        <w:rPr>
          <w:rFonts w:ascii="Times New Roman" w:hAnsi="Times New Roman"/>
          <w:i/>
          <w:sz w:val="24"/>
          <w:szCs w:val="24"/>
        </w:rPr>
      </w:pPr>
      <w:r w:rsidRPr="00030D30">
        <w:rPr>
          <w:rFonts w:ascii="Times New Roman" w:hAnsi="Times New Roman"/>
          <w:i/>
          <w:sz w:val="24"/>
          <w:szCs w:val="24"/>
        </w:rPr>
        <w:t>Submitted on Tuesday, 27</w:t>
      </w:r>
      <w:r w:rsidRPr="00030D30">
        <w:rPr>
          <w:rFonts w:ascii="Times New Roman" w:hAnsi="Times New Roman"/>
          <w:i/>
          <w:sz w:val="24"/>
          <w:szCs w:val="24"/>
          <w:vertAlign w:val="superscript"/>
        </w:rPr>
        <w:t>th</w:t>
      </w:r>
      <w:r w:rsidRPr="00030D30">
        <w:rPr>
          <w:rFonts w:ascii="Times New Roman" w:hAnsi="Times New Roman"/>
          <w:i/>
          <w:sz w:val="24"/>
          <w:szCs w:val="24"/>
        </w:rPr>
        <w:t xml:space="preserve"> September, 2016.  by</w:t>
      </w:r>
    </w:p>
    <w:p w:rsidR="00184EC6" w:rsidRPr="00030D30" w:rsidRDefault="00B74B42" w:rsidP="00184EC6">
      <w:pPr>
        <w:jc w:val="center"/>
        <w:rPr>
          <w:rFonts w:ascii="Times New Roman" w:hAnsi="Times New Roman"/>
        </w:rPr>
      </w:pPr>
      <w:r w:rsidRPr="00030D30">
        <w:rPr>
          <w:rFonts w:ascii="Times New Roman" w:hAnsi="Times New Roman"/>
          <w:b/>
        </w:rPr>
        <w:t xml:space="preserve"> </w:t>
      </w:r>
      <w:r w:rsidR="00184EC6" w:rsidRPr="00030D30">
        <w:rPr>
          <w:rFonts w:ascii="Times New Roman" w:hAnsi="Times New Roman"/>
          <w:b/>
        </w:rPr>
        <w:t>Jude C. Enebechi,</w:t>
      </w:r>
      <w:r w:rsidR="00184EC6" w:rsidRPr="00030D30">
        <w:rPr>
          <w:rFonts w:ascii="Times New Roman" w:hAnsi="Times New Roman"/>
        </w:rPr>
        <w:t xml:space="preserve"> </w:t>
      </w:r>
      <w:r w:rsidR="00184EC6" w:rsidRPr="00030D30">
        <w:rPr>
          <w:rFonts w:ascii="Times New Roman" w:hAnsi="Times New Roman"/>
          <w:i/>
        </w:rPr>
        <w:t>(Ph.D)</w:t>
      </w:r>
      <w:r w:rsidR="00184EC6" w:rsidRPr="00030D30">
        <w:rPr>
          <w:rFonts w:ascii="Times New Roman" w:hAnsi="Times New Roman"/>
        </w:rPr>
        <w:t>,</w:t>
      </w:r>
      <w:r w:rsidRPr="00030D30">
        <w:rPr>
          <w:rFonts w:ascii="Times New Roman" w:hAnsi="Times New Roman"/>
        </w:rPr>
        <w:t xml:space="preserve"> who</w:t>
      </w:r>
      <w:r w:rsidR="00184EC6" w:rsidRPr="00030D30">
        <w:rPr>
          <w:rFonts w:ascii="Times New Roman" w:hAnsi="Times New Roman"/>
        </w:rPr>
        <w:t xml:space="preserve"> is </w:t>
      </w:r>
      <w:r w:rsidRPr="00030D30">
        <w:rPr>
          <w:rFonts w:ascii="Times New Roman" w:hAnsi="Times New Roman"/>
        </w:rPr>
        <w:t>a</w:t>
      </w:r>
      <w:r w:rsidR="00184EC6" w:rsidRPr="00030D30">
        <w:rPr>
          <w:rFonts w:ascii="Times New Roman" w:hAnsi="Times New Roman"/>
        </w:rPr>
        <w:t xml:space="preserve"> Lecturer in the Department of Physical &amp; Health Education, Enugu State College of Education (Technical) Enugu, Nigeria.</w:t>
      </w:r>
    </w:p>
    <w:p w:rsidR="00184EC6" w:rsidRPr="00BA6799" w:rsidRDefault="00184EC6" w:rsidP="00184EC6">
      <w:pPr>
        <w:pStyle w:val="NoSpacing"/>
        <w:spacing w:line="360" w:lineRule="auto"/>
        <w:rPr>
          <w:rFonts w:ascii="Times New Roman" w:hAnsi="Times New Roman"/>
          <w:i/>
          <w:sz w:val="24"/>
          <w:szCs w:val="24"/>
        </w:rPr>
      </w:pPr>
      <w:r>
        <w:rPr>
          <w:rFonts w:ascii="Times New Roman" w:hAnsi="Times New Roman"/>
          <w:i/>
          <w:sz w:val="24"/>
          <w:szCs w:val="24"/>
        </w:rPr>
        <w:t xml:space="preserve"> </w:t>
      </w:r>
      <w:r w:rsidR="00B74B42">
        <w:rPr>
          <w:rFonts w:ascii="Times New Roman" w:hAnsi="Times New Roman"/>
          <w:i/>
          <w:sz w:val="24"/>
          <w:szCs w:val="24"/>
        </w:rPr>
        <w:t xml:space="preserve"> </w:t>
      </w:r>
    </w:p>
    <w:p w:rsidR="00184EC6" w:rsidRDefault="00184EC6" w:rsidP="00184EC6">
      <w:pPr>
        <w:pStyle w:val="NoSpacing"/>
        <w:rPr>
          <w:rFonts w:ascii="Times New Roman" w:hAnsi="Times New Roman"/>
          <w:i/>
        </w:rPr>
      </w:pPr>
    </w:p>
    <w:p w:rsidR="00184EC6" w:rsidRDefault="00184EC6" w:rsidP="00184EC6">
      <w:pPr>
        <w:pStyle w:val="NoSpacing"/>
        <w:rPr>
          <w:rFonts w:ascii="Times New Roman" w:hAnsi="Times New Roman"/>
          <w:i/>
        </w:rPr>
      </w:pPr>
    </w:p>
    <w:p w:rsidR="00184EC6" w:rsidRDefault="00184EC6"/>
    <w:sectPr w:rsidR="00184EC6" w:rsidSect="00A855B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E41" w:rsidRDefault="001C4E41" w:rsidP="004B7ADC">
      <w:pPr>
        <w:spacing w:after="0" w:line="240" w:lineRule="auto"/>
      </w:pPr>
      <w:r>
        <w:separator/>
      </w:r>
    </w:p>
  </w:endnote>
  <w:endnote w:type="continuationSeparator" w:id="1">
    <w:p w:rsidR="001C4E41" w:rsidRDefault="001C4E41" w:rsidP="004B7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0523"/>
      <w:docPartObj>
        <w:docPartGallery w:val="Page Numbers (Bottom of Page)"/>
        <w:docPartUnique/>
      </w:docPartObj>
    </w:sdtPr>
    <w:sdtContent>
      <w:p w:rsidR="004B7ADC" w:rsidRDefault="00090700">
        <w:pPr>
          <w:pStyle w:val="Footer"/>
          <w:jc w:val="center"/>
        </w:pPr>
        <w:fldSimple w:instr=" PAGE   \* MERGEFORMAT ">
          <w:r w:rsidR="007465C5">
            <w:rPr>
              <w:noProof/>
            </w:rPr>
            <w:t>5</w:t>
          </w:r>
        </w:fldSimple>
      </w:p>
    </w:sdtContent>
  </w:sdt>
  <w:p w:rsidR="004B7ADC" w:rsidRDefault="004B7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E41" w:rsidRDefault="001C4E41" w:rsidP="004B7ADC">
      <w:pPr>
        <w:spacing w:after="0" w:line="240" w:lineRule="auto"/>
      </w:pPr>
      <w:r>
        <w:separator/>
      </w:r>
    </w:p>
  </w:footnote>
  <w:footnote w:type="continuationSeparator" w:id="1">
    <w:p w:rsidR="001C4E41" w:rsidRDefault="001C4E41" w:rsidP="004B7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1E40"/>
    <w:multiLevelType w:val="hybridMultilevel"/>
    <w:tmpl w:val="3776F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97DBC"/>
    <w:rsid w:val="00030D30"/>
    <w:rsid w:val="000520AA"/>
    <w:rsid w:val="0005276E"/>
    <w:rsid w:val="00090700"/>
    <w:rsid w:val="000962C6"/>
    <w:rsid w:val="000F24A1"/>
    <w:rsid w:val="00184EC6"/>
    <w:rsid w:val="001C4E41"/>
    <w:rsid w:val="002F4F8D"/>
    <w:rsid w:val="003160B5"/>
    <w:rsid w:val="003C3FAA"/>
    <w:rsid w:val="0048295A"/>
    <w:rsid w:val="004B7ADC"/>
    <w:rsid w:val="004E54EC"/>
    <w:rsid w:val="004F6AE4"/>
    <w:rsid w:val="005B1D5C"/>
    <w:rsid w:val="007465C5"/>
    <w:rsid w:val="007560C1"/>
    <w:rsid w:val="00776196"/>
    <w:rsid w:val="00834BDB"/>
    <w:rsid w:val="00920327"/>
    <w:rsid w:val="00A855BC"/>
    <w:rsid w:val="00B74B42"/>
    <w:rsid w:val="00BA6799"/>
    <w:rsid w:val="00C430A5"/>
    <w:rsid w:val="00C501C5"/>
    <w:rsid w:val="00CE14F2"/>
    <w:rsid w:val="00E471BC"/>
    <w:rsid w:val="00E8337A"/>
    <w:rsid w:val="00EE338F"/>
    <w:rsid w:val="00F807AD"/>
    <w:rsid w:val="00F97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6"/>
        <o:r id="V:Rule8" type="connector" idref="#_x0000_s1031"/>
        <o:r id="V:Rule9" type="connector" idref="#_x0000_s1029"/>
        <o:r id="V:Rule10" type="connector" idref="#_x0000_s1030"/>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DB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7DBC"/>
    <w:rPr>
      <w:color w:val="0000FF"/>
      <w:u w:val="single"/>
    </w:rPr>
  </w:style>
  <w:style w:type="paragraph" w:styleId="ListParagraph">
    <w:name w:val="List Paragraph"/>
    <w:basedOn w:val="Normal"/>
    <w:uiPriority w:val="34"/>
    <w:qFormat/>
    <w:rsid w:val="00F97DBC"/>
    <w:pPr>
      <w:ind w:left="720"/>
      <w:contextualSpacing/>
    </w:pPr>
  </w:style>
  <w:style w:type="paragraph" w:styleId="Header">
    <w:name w:val="header"/>
    <w:basedOn w:val="Normal"/>
    <w:link w:val="HeaderChar"/>
    <w:uiPriority w:val="99"/>
    <w:semiHidden/>
    <w:unhideWhenUsed/>
    <w:rsid w:val="004B7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ADC"/>
    <w:rPr>
      <w:rFonts w:ascii="Calibri" w:eastAsia="Calibri" w:hAnsi="Calibri" w:cs="Times New Roman"/>
    </w:rPr>
  </w:style>
  <w:style w:type="paragraph" w:styleId="Footer">
    <w:name w:val="footer"/>
    <w:basedOn w:val="Normal"/>
    <w:link w:val="FooterChar"/>
    <w:uiPriority w:val="99"/>
    <w:unhideWhenUsed/>
    <w:rsid w:val="004B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Enebechi</dc:creator>
  <cp:lastModifiedBy>Dr. Enebechi</cp:lastModifiedBy>
  <cp:revision>64</cp:revision>
  <dcterms:created xsi:type="dcterms:W3CDTF">2016-09-26T08:35:00Z</dcterms:created>
  <dcterms:modified xsi:type="dcterms:W3CDTF">2016-09-26T10:40:00Z</dcterms:modified>
</cp:coreProperties>
</file>